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841.9pt;mso-position-horizontal-relative:page;mso-position-vertical-relative:page;z-index:-64120" coordorigin="0,0" coordsize="11906,16838">
            <v:shape style="position:absolute;left:35;top:0;width:11871;height:16838" type="#_x0000_t75" stroked="false">
              <v:imagedata r:id="rId5" o:title=""/>
            </v:shape>
            <v:rect style="position:absolute;left:5224;top:1398;width:1503;height:3515" filled="true" fillcolor="#ffffff" stroked="false">
              <v:fill type="solid"/>
            </v:rect>
            <v:shape style="position:absolute;left:5336;top:1565;width:1265;height:3210" type="#_x0000_t75" stroked="false">
              <v:imagedata r:id="rId6" o:title=""/>
            </v:shape>
            <v:shape style="position:absolute;left:0;top:0;width:1842;height:16838" type="#_x0000_t75" stroked="false">
              <v:imagedata r:id="rId7" o:title=""/>
            </v:shape>
            <v:line style="position:absolute" from="0,14" to="1705,14" stroked="true" strokeweight="1.417015pt" strokecolor="#ffffff">
              <v:stroke dashstyle="solid"/>
            </v:line>
            <v:shape style="position:absolute;left:-1;top:1762;width:1641;height:15076" coordorigin="0,1762" coordsize="1641,15076" path="m1200,13843l0,13843,0,16838,1200,16838,1200,13843m1641,1771l966,1762,904,6513,1578,6522,1641,1771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75"/>
        <w:ind w:left="168" w:right="174" w:firstLine="0"/>
        <w:jc w:val="center"/>
        <w:rPr>
          <w:sz w:val="40"/>
        </w:rPr>
      </w:pPr>
      <w:r>
        <w:rPr>
          <w:color w:val="FFFFFF"/>
          <w:spacing w:val="1"/>
          <w:w w:val="90"/>
          <w:sz w:val="40"/>
        </w:rPr>
        <w:t>ANNUAL </w:t>
      </w:r>
      <w:r>
        <w:rPr>
          <w:color w:val="FFFFFF"/>
          <w:spacing w:val="-8"/>
          <w:w w:val="90"/>
          <w:sz w:val="40"/>
        </w:rPr>
        <w:t>REPORT</w:t>
      </w:r>
      <w:r>
        <w:rPr>
          <w:color w:val="FFFFFF"/>
          <w:spacing w:val="-60"/>
          <w:w w:val="90"/>
          <w:sz w:val="40"/>
        </w:rPr>
        <w:t> </w:t>
      </w:r>
      <w:r>
        <w:rPr>
          <w:color w:val="FFFFFF"/>
          <w:spacing w:val="-8"/>
          <w:w w:val="90"/>
          <w:sz w:val="40"/>
        </w:rPr>
        <w:t>2010/11</w:t>
      </w: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2"/>
        <w:rPr>
          <w:sz w:val="63"/>
        </w:rPr>
      </w:pPr>
    </w:p>
    <w:p>
      <w:pPr>
        <w:pStyle w:val="Heading2"/>
      </w:pPr>
      <w:r>
        <w:rPr>
          <w:color w:val="FFFFFF"/>
          <w:w w:val="95"/>
        </w:rPr>
        <w:t>Empowering</w:t>
      </w:r>
      <w:r>
        <w:rPr>
          <w:color w:val="FFFFFF"/>
          <w:spacing w:val="-60"/>
          <w:w w:val="95"/>
        </w:rPr>
        <w:t> </w:t>
      </w:r>
      <w:r>
        <w:rPr>
          <w:color w:val="FFFFFF"/>
          <w:w w:val="95"/>
        </w:rPr>
        <w:t>the</w:t>
      </w:r>
      <w:r>
        <w:rPr>
          <w:color w:val="FFFFFF"/>
          <w:spacing w:val="-60"/>
          <w:w w:val="95"/>
        </w:rPr>
        <w:t> </w:t>
      </w:r>
      <w:r>
        <w:rPr>
          <w:color w:val="FFFFFF"/>
          <w:w w:val="95"/>
        </w:rPr>
        <w:t>voices</w:t>
      </w:r>
      <w:r>
        <w:rPr>
          <w:color w:val="FFFFFF"/>
          <w:spacing w:val="-60"/>
          <w:w w:val="95"/>
        </w:rPr>
        <w:t> </w:t>
      </w:r>
      <w:r>
        <w:rPr>
          <w:color w:val="FFFFFF"/>
          <w:w w:val="95"/>
        </w:rPr>
        <w:t>of</w:t>
      </w:r>
      <w:r>
        <w:rPr>
          <w:color w:val="FFFFFF"/>
          <w:spacing w:val="-60"/>
          <w:w w:val="95"/>
        </w:rPr>
        <w:t> </w:t>
      </w:r>
      <w:r>
        <w:rPr>
          <w:color w:val="FFFFFF"/>
          <w:w w:val="95"/>
        </w:rPr>
        <w:t>people</w:t>
      </w:r>
      <w:r>
        <w:rPr>
          <w:color w:val="FFFFFF"/>
          <w:spacing w:val="-60"/>
          <w:w w:val="95"/>
        </w:rPr>
        <w:t> </w:t>
      </w:r>
      <w:r>
        <w:rPr>
          <w:color w:val="FFFFFF"/>
          <w:w w:val="95"/>
        </w:rPr>
        <w:t>with</w:t>
      </w:r>
      <w:r>
        <w:rPr>
          <w:color w:val="FFFFFF"/>
          <w:spacing w:val="-60"/>
          <w:w w:val="95"/>
        </w:rPr>
        <w:t> </w:t>
      </w:r>
      <w:r>
        <w:rPr>
          <w:color w:val="FFFFFF"/>
          <w:w w:val="95"/>
        </w:rPr>
        <w:t>disabilities</w:t>
      </w:r>
      <w:r>
        <w:rPr>
          <w:color w:val="FFFFFF"/>
          <w:spacing w:val="-60"/>
          <w:w w:val="95"/>
        </w:rPr>
        <w:t> </w:t>
      </w:r>
      <w:r>
        <w:rPr>
          <w:color w:val="FFFFFF"/>
          <w:w w:val="95"/>
        </w:rPr>
        <w:t>in</w:t>
      </w:r>
      <w:r>
        <w:rPr>
          <w:color w:val="FFFFFF"/>
          <w:spacing w:val="-65"/>
          <w:w w:val="95"/>
        </w:rPr>
        <w:t> </w:t>
      </w:r>
      <w:r>
        <w:rPr>
          <w:color w:val="FFFFFF"/>
          <w:spacing w:val="-4"/>
          <w:w w:val="95"/>
        </w:rPr>
        <w:t>WA</w:t>
      </w:r>
    </w:p>
    <w:p>
      <w:pPr>
        <w:spacing w:after="0"/>
        <w:sectPr>
          <w:type w:val="continuous"/>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48"/>
        <w:ind w:left="4090" w:right="4070" w:firstLine="0"/>
        <w:jc w:val="center"/>
        <w:rPr>
          <w:rFonts w:ascii="Tahoma"/>
          <w:sz w:val="32"/>
        </w:rPr>
      </w:pPr>
      <w:r>
        <w:rPr>
          <w:rFonts w:ascii="Tahoma"/>
          <w:sz w:val="32"/>
        </w:rPr>
        <w:t>Contents</w:t>
      </w:r>
    </w:p>
    <w:p>
      <w:pPr>
        <w:pStyle w:val="BodyText"/>
        <w:rPr>
          <w:rFonts w:ascii="Tahoma"/>
          <w:sz w:val="38"/>
        </w:rPr>
      </w:pPr>
    </w:p>
    <w:p>
      <w:pPr>
        <w:spacing w:before="280"/>
        <w:ind w:left="0" w:right="117" w:firstLine="0"/>
        <w:jc w:val="right"/>
        <w:rPr>
          <w:rFonts w:ascii="Tahoma"/>
          <w:sz w:val="28"/>
        </w:rPr>
      </w:pPr>
      <w:r>
        <w:rPr>
          <w:rFonts w:ascii="Tahoma"/>
          <w:sz w:val="28"/>
        </w:rPr>
        <w:t>Pages</w:t>
      </w:r>
    </w:p>
    <w:sdt>
      <w:sdtPr>
        <w:docPartObj>
          <w:docPartGallery w:val="Table of Contents"/>
          <w:docPartUnique/>
        </w:docPartObj>
      </w:sdtPr>
      <w:sdtEndPr/>
      <w:sdtContent>
        <w:p>
          <w:pPr>
            <w:pStyle w:val="TOC1"/>
            <w:numPr>
              <w:ilvl w:val="0"/>
              <w:numId w:val="1"/>
            </w:numPr>
            <w:tabs>
              <w:tab w:pos="470" w:val="left" w:leader="none"/>
              <w:tab w:pos="471" w:val="left" w:leader="none"/>
              <w:tab w:pos="9292" w:val="right" w:leader="none"/>
            </w:tabs>
            <w:spacing w:line="240" w:lineRule="auto" w:before="338" w:after="0"/>
            <w:ind w:left="470" w:right="0" w:hanging="360"/>
            <w:jc w:val="left"/>
            <w:rPr>
              <w:rFonts w:ascii="Symbol"/>
              <w:sz w:val="32"/>
            </w:rPr>
          </w:pPr>
          <w:r>
            <w:rPr/>
            <w:t>Mission, Vision</w:t>
          </w:r>
          <w:r>
            <w:rPr>
              <w:spacing w:val="-1"/>
            </w:rPr>
            <w:t> </w:t>
          </w:r>
          <w:r>
            <w:rPr/>
            <w:t>&amp;</w:t>
          </w:r>
          <w:r>
            <w:rPr>
              <w:spacing w:val="-1"/>
            </w:rPr>
            <w:t> </w:t>
          </w:r>
          <w:r>
            <w:rPr>
              <w:spacing w:val="-3"/>
            </w:rPr>
            <w:t>Values</w:t>
            <w:tab/>
          </w:r>
          <w:r>
            <w:rPr/>
            <w:t>1</w:t>
          </w:r>
        </w:p>
        <w:p>
          <w:pPr>
            <w:pStyle w:val="TOC1"/>
            <w:numPr>
              <w:ilvl w:val="0"/>
              <w:numId w:val="1"/>
            </w:numPr>
            <w:tabs>
              <w:tab w:pos="470" w:val="left" w:leader="none"/>
              <w:tab w:pos="471" w:val="left" w:leader="none"/>
              <w:tab w:pos="9291" w:val="right" w:leader="none"/>
            </w:tabs>
            <w:spacing w:line="240" w:lineRule="auto" w:before="339" w:after="0"/>
            <w:ind w:left="470" w:right="0" w:hanging="360"/>
            <w:jc w:val="left"/>
            <w:rPr>
              <w:rFonts w:ascii="Symbol" w:hAnsi="Symbol"/>
              <w:sz w:val="32"/>
            </w:rPr>
          </w:pPr>
          <w:r>
            <w:rPr/>
            <w:t>President’s</w:t>
          </w:r>
          <w:r>
            <w:rPr>
              <w:spacing w:val="-1"/>
            </w:rPr>
            <w:t> </w:t>
          </w:r>
          <w:r>
            <w:rPr/>
            <w:t>Report</w:t>
            <w:tab/>
            <w:t>2-3</w:t>
          </w:r>
        </w:p>
        <w:p>
          <w:pPr>
            <w:pStyle w:val="TOC1"/>
            <w:numPr>
              <w:ilvl w:val="0"/>
              <w:numId w:val="1"/>
            </w:numPr>
            <w:tabs>
              <w:tab w:pos="470" w:val="left" w:leader="none"/>
              <w:tab w:pos="471" w:val="left" w:leader="none"/>
              <w:tab w:pos="9290" w:val="right" w:leader="none"/>
            </w:tabs>
            <w:spacing w:line="240" w:lineRule="auto" w:before="337" w:after="0"/>
            <w:ind w:left="470" w:right="0" w:hanging="360"/>
            <w:jc w:val="left"/>
            <w:rPr>
              <w:rFonts w:ascii="Symbol" w:hAnsi="Symbol"/>
              <w:sz w:val="32"/>
            </w:rPr>
          </w:pPr>
          <w:hyperlink w:history="true" w:anchor="_TOC_250003">
            <w:r>
              <w:rPr>
                <w:spacing w:val="-4"/>
              </w:rPr>
              <w:t>Treasurer’s</w:t>
            </w:r>
            <w:r>
              <w:rPr>
                <w:spacing w:val="-1"/>
              </w:rPr>
              <w:t> </w:t>
            </w:r>
            <w:r>
              <w:rPr/>
              <w:t>Report</w:t>
              <w:tab/>
              <w:t>4</w:t>
            </w:r>
          </w:hyperlink>
        </w:p>
        <w:p>
          <w:pPr>
            <w:pStyle w:val="TOC1"/>
            <w:numPr>
              <w:ilvl w:val="0"/>
              <w:numId w:val="1"/>
            </w:numPr>
            <w:tabs>
              <w:tab w:pos="470" w:val="left" w:leader="none"/>
              <w:tab w:pos="471" w:val="left" w:leader="none"/>
              <w:tab w:pos="9289" w:val="right" w:leader="none"/>
            </w:tabs>
            <w:spacing w:line="240" w:lineRule="auto" w:before="338" w:after="0"/>
            <w:ind w:left="470" w:right="0" w:hanging="360"/>
            <w:jc w:val="left"/>
            <w:rPr>
              <w:rFonts w:ascii="Symbol"/>
              <w:sz w:val="32"/>
            </w:rPr>
          </w:pPr>
          <w:r>
            <w:rPr/>
            <w:t>Committee</w:t>
          </w:r>
          <w:r>
            <w:rPr>
              <w:spacing w:val="-1"/>
            </w:rPr>
            <w:t> </w:t>
          </w:r>
          <w:r>
            <w:rPr/>
            <w:t>of</w:t>
          </w:r>
          <w:r>
            <w:rPr>
              <w:spacing w:val="-1"/>
            </w:rPr>
            <w:t> </w:t>
          </w:r>
          <w:r>
            <w:rPr/>
            <w:t>Management</w:t>
            <w:tab/>
            <w:t>5</w:t>
          </w:r>
        </w:p>
        <w:p>
          <w:pPr>
            <w:pStyle w:val="TOC1"/>
            <w:numPr>
              <w:ilvl w:val="0"/>
              <w:numId w:val="1"/>
            </w:numPr>
            <w:tabs>
              <w:tab w:pos="470" w:val="left" w:leader="none"/>
              <w:tab w:pos="471" w:val="left" w:leader="none"/>
              <w:tab w:pos="9291" w:val="right" w:leader="none"/>
            </w:tabs>
            <w:spacing w:line="240" w:lineRule="auto" w:before="339" w:after="0"/>
            <w:ind w:left="470" w:right="0" w:hanging="360"/>
            <w:jc w:val="left"/>
            <w:rPr>
              <w:rFonts w:ascii="Symbol" w:hAnsi="Symbol"/>
              <w:sz w:val="32"/>
            </w:rPr>
          </w:pPr>
          <w:r>
            <w:rPr/>
            <w:t>Executive Director’s</w:t>
          </w:r>
          <w:r>
            <w:rPr>
              <w:spacing w:val="-1"/>
            </w:rPr>
            <w:t> </w:t>
          </w:r>
          <w:r>
            <w:rPr/>
            <w:t>Report</w:t>
            <w:tab/>
            <w:t>6-7</w:t>
          </w:r>
        </w:p>
        <w:p>
          <w:pPr>
            <w:pStyle w:val="TOC1"/>
            <w:numPr>
              <w:ilvl w:val="0"/>
              <w:numId w:val="1"/>
            </w:numPr>
            <w:tabs>
              <w:tab w:pos="470" w:val="left" w:leader="none"/>
              <w:tab w:pos="471" w:val="left" w:leader="none"/>
              <w:tab w:pos="9289" w:val="right" w:leader="none"/>
            </w:tabs>
            <w:spacing w:line="240" w:lineRule="auto" w:before="337" w:after="0"/>
            <w:ind w:left="470" w:right="0" w:hanging="360"/>
            <w:jc w:val="left"/>
            <w:rPr>
              <w:rFonts w:ascii="Symbol"/>
              <w:sz w:val="32"/>
            </w:rPr>
          </w:pPr>
          <w:r>
            <w:rPr/>
            <w:t>Services</w:t>
            <w:tab/>
            <w:t>8</w:t>
          </w:r>
        </w:p>
        <w:p>
          <w:pPr>
            <w:pStyle w:val="TOC2"/>
            <w:numPr>
              <w:ilvl w:val="1"/>
              <w:numId w:val="1"/>
            </w:numPr>
            <w:tabs>
              <w:tab w:pos="1083" w:val="left" w:leader="none"/>
              <w:tab w:pos="1084" w:val="left" w:leader="none"/>
              <w:tab w:pos="9291" w:val="right" w:leader="none"/>
            </w:tabs>
            <w:spacing w:line="338" w:lineRule="exact" w:before="339" w:after="0"/>
            <w:ind w:left="1083" w:right="0" w:hanging="629"/>
            <w:jc w:val="left"/>
          </w:pPr>
          <w:r>
            <w:rPr/>
            <w:t>Individual</w:t>
          </w:r>
          <w:r>
            <w:rPr>
              <w:spacing w:val="-1"/>
            </w:rPr>
            <w:t> </w:t>
          </w:r>
          <w:r>
            <w:rPr/>
            <w:t>Advocacy</w:t>
            <w:tab/>
            <w:t>8-9</w:t>
          </w:r>
        </w:p>
        <w:p>
          <w:pPr>
            <w:pStyle w:val="TOC2"/>
            <w:numPr>
              <w:ilvl w:val="1"/>
              <w:numId w:val="1"/>
            </w:numPr>
            <w:tabs>
              <w:tab w:pos="1083" w:val="left" w:leader="none"/>
              <w:tab w:pos="1084" w:val="left" w:leader="none"/>
              <w:tab w:pos="9291" w:val="right" w:leader="none"/>
            </w:tabs>
            <w:spacing w:line="338" w:lineRule="exact" w:before="0" w:after="0"/>
            <w:ind w:left="1083" w:right="0" w:hanging="629"/>
            <w:jc w:val="left"/>
          </w:pPr>
          <w:r>
            <w:rPr/>
            <w:t>Peel</w:t>
          </w:r>
          <w:r>
            <w:rPr>
              <w:spacing w:val="-1"/>
            </w:rPr>
            <w:t> </w:t>
          </w:r>
          <w:r>
            <w:rPr/>
            <w:t>Individual</w:t>
          </w:r>
          <w:r>
            <w:rPr>
              <w:spacing w:val="-1"/>
            </w:rPr>
            <w:t> </w:t>
          </w:r>
          <w:r>
            <w:rPr/>
            <w:t>Advocacy</w:t>
            <w:tab/>
            <w:t>10</w:t>
          </w:r>
        </w:p>
        <w:p>
          <w:pPr>
            <w:pStyle w:val="TOC2"/>
            <w:numPr>
              <w:ilvl w:val="1"/>
              <w:numId w:val="1"/>
            </w:numPr>
            <w:tabs>
              <w:tab w:pos="1083" w:val="left" w:leader="none"/>
              <w:tab w:pos="1084" w:val="left" w:leader="none"/>
              <w:tab w:pos="9290" w:val="right" w:leader="none"/>
            </w:tabs>
            <w:spacing w:line="338" w:lineRule="exact" w:before="0" w:after="0"/>
            <w:ind w:left="1083" w:right="0" w:hanging="629"/>
            <w:jc w:val="left"/>
          </w:pPr>
          <w:r>
            <w:rPr/>
            <w:t>Disability</w:t>
          </w:r>
          <w:r>
            <w:rPr>
              <w:spacing w:val="-1"/>
            </w:rPr>
            <w:t> </w:t>
          </w:r>
          <w:r>
            <w:rPr/>
            <w:t>First</w:t>
          </w:r>
          <w:r>
            <w:rPr>
              <w:spacing w:val="-1"/>
            </w:rPr>
            <w:t> </w:t>
          </w:r>
          <w:r>
            <w:rPr/>
            <w:t>Stop</w:t>
            <w:tab/>
            <w:t>11</w:t>
          </w:r>
        </w:p>
        <w:p>
          <w:pPr>
            <w:pStyle w:val="TOC2"/>
            <w:numPr>
              <w:ilvl w:val="1"/>
              <w:numId w:val="1"/>
            </w:numPr>
            <w:tabs>
              <w:tab w:pos="1083" w:val="left" w:leader="none"/>
              <w:tab w:pos="1084" w:val="left" w:leader="none"/>
            </w:tabs>
            <w:spacing w:line="338" w:lineRule="exact" w:before="0" w:after="0"/>
            <w:ind w:left="1083" w:right="0" w:hanging="629"/>
            <w:jc w:val="left"/>
          </w:pPr>
          <w:r>
            <w:rPr/>
            <w:t>Primary</w:t>
          </w:r>
          <w:r>
            <w:rPr>
              <w:spacing w:val="-1"/>
            </w:rPr>
            <w:t> </w:t>
          </w:r>
          <w:r>
            <w:rPr/>
            <w:t>Diagnosis</w:t>
          </w:r>
        </w:p>
        <w:p>
          <w:pPr>
            <w:pStyle w:val="TOC3"/>
            <w:tabs>
              <w:tab w:pos="9280" w:val="right" w:leader="none"/>
            </w:tabs>
          </w:pPr>
          <w:r>
            <w:rPr/>
            <w:t>Statistics of Individual</w:t>
          </w:r>
          <w:r>
            <w:rPr>
              <w:spacing w:val="-1"/>
            </w:rPr>
            <w:t> </w:t>
          </w:r>
          <w:r>
            <w:rPr/>
            <w:t>Advocacy</w:t>
          </w:r>
          <w:r>
            <w:rPr>
              <w:spacing w:val="-1"/>
            </w:rPr>
            <w:t> </w:t>
          </w:r>
          <w:r>
            <w:rPr/>
            <w:t>Service</w:t>
            <w:tab/>
            <w:t>12</w:t>
          </w:r>
        </w:p>
        <w:p>
          <w:pPr>
            <w:pStyle w:val="TOC2"/>
            <w:numPr>
              <w:ilvl w:val="1"/>
              <w:numId w:val="1"/>
            </w:numPr>
            <w:tabs>
              <w:tab w:pos="1083" w:val="left" w:leader="none"/>
              <w:tab w:pos="1084" w:val="left" w:leader="none"/>
              <w:tab w:pos="9291" w:val="right" w:leader="none"/>
            </w:tabs>
            <w:spacing w:line="338" w:lineRule="exact" w:before="1" w:after="0"/>
            <w:ind w:left="1083" w:right="0" w:hanging="629"/>
            <w:jc w:val="left"/>
          </w:pPr>
          <w:hyperlink w:history="true" w:anchor="_TOC_250002">
            <w:r>
              <w:rPr/>
              <w:t>Information</w:t>
            </w:r>
            <w:r>
              <w:rPr>
                <w:spacing w:val="-1"/>
              </w:rPr>
              <w:t> </w:t>
            </w:r>
            <w:r>
              <w:rPr/>
              <w:t>Advocacy</w:t>
              <w:tab/>
              <w:t>13</w:t>
            </w:r>
          </w:hyperlink>
        </w:p>
        <w:p>
          <w:pPr>
            <w:pStyle w:val="TOC2"/>
            <w:numPr>
              <w:ilvl w:val="1"/>
              <w:numId w:val="1"/>
            </w:numPr>
            <w:tabs>
              <w:tab w:pos="1083" w:val="left" w:leader="none"/>
              <w:tab w:pos="1084" w:val="left" w:leader="none"/>
              <w:tab w:pos="9290" w:val="right" w:leader="none"/>
            </w:tabs>
            <w:spacing w:line="338" w:lineRule="exact" w:before="0" w:after="0"/>
            <w:ind w:left="1083" w:right="0" w:hanging="629"/>
            <w:jc w:val="left"/>
          </w:pPr>
          <w:hyperlink w:history="true" w:anchor="_TOC_250001">
            <w:r>
              <w:rPr/>
              <w:t>Self</w:t>
            </w:r>
            <w:r>
              <w:rPr>
                <w:spacing w:val="-1"/>
              </w:rPr>
              <w:t> </w:t>
            </w:r>
            <w:r>
              <w:rPr/>
              <w:t>Advocacy</w:t>
            </w:r>
            <w:r>
              <w:rPr>
                <w:spacing w:val="-1"/>
              </w:rPr>
              <w:t> </w:t>
            </w:r>
            <w:r>
              <w:rPr>
                <w:spacing w:val="-4"/>
              </w:rPr>
              <w:t>WA</w:t>
              <w:tab/>
            </w:r>
            <w:r>
              <w:rPr/>
              <w:t>14</w:t>
            </w:r>
          </w:hyperlink>
        </w:p>
        <w:p>
          <w:pPr>
            <w:pStyle w:val="TOC2"/>
            <w:numPr>
              <w:ilvl w:val="1"/>
              <w:numId w:val="1"/>
            </w:numPr>
            <w:tabs>
              <w:tab w:pos="1083" w:val="left" w:leader="none"/>
              <w:tab w:pos="1084" w:val="left" w:leader="none"/>
              <w:tab w:pos="9290" w:val="right" w:leader="none"/>
            </w:tabs>
            <w:spacing w:line="240" w:lineRule="auto" w:before="0" w:after="0"/>
            <w:ind w:left="1083" w:right="0" w:hanging="629"/>
            <w:jc w:val="left"/>
          </w:pPr>
          <w:r>
            <w:rPr/>
            <w:t>Systemic</w:t>
          </w:r>
          <w:r>
            <w:rPr>
              <w:spacing w:val="-1"/>
            </w:rPr>
            <w:t> </w:t>
          </w:r>
          <w:r>
            <w:rPr/>
            <w:t>Advocacy</w:t>
            <w:tab/>
            <w:t>15-16</w:t>
          </w:r>
        </w:p>
        <w:p>
          <w:pPr>
            <w:pStyle w:val="TOC2"/>
            <w:numPr>
              <w:ilvl w:val="1"/>
              <w:numId w:val="1"/>
            </w:numPr>
            <w:tabs>
              <w:tab w:pos="1083" w:val="left" w:leader="none"/>
              <w:tab w:pos="1084" w:val="left" w:leader="none"/>
              <w:tab w:pos="9290" w:val="right" w:leader="none"/>
            </w:tabs>
            <w:spacing w:line="240" w:lineRule="auto" w:before="1" w:after="0"/>
            <w:ind w:left="1083" w:right="0" w:hanging="629"/>
            <w:jc w:val="left"/>
          </w:pPr>
          <w:hyperlink w:history="true" w:anchor="_TOC_250000">
            <w:r>
              <w:rPr>
                <w:spacing w:val="-5"/>
              </w:rPr>
              <w:t>Your </w:t>
            </w:r>
            <w:r>
              <w:rPr/>
              <w:t>Rights</w:t>
            </w:r>
            <w:r>
              <w:rPr>
                <w:spacing w:val="5"/>
              </w:rPr>
              <w:t> </w:t>
            </w:r>
            <w:r>
              <w:rPr>
                <w:spacing w:val="-5"/>
              </w:rPr>
              <w:t>Your</w:t>
            </w:r>
            <w:r>
              <w:rPr/>
              <w:t> </w:t>
            </w:r>
            <w:r>
              <w:rPr>
                <w:spacing w:val="-3"/>
              </w:rPr>
              <w:t>Voice</w:t>
              <w:tab/>
            </w:r>
            <w:r>
              <w:rPr/>
              <w:t>17</w:t>
            </w:r>
          </w:hyperlink>
        </w:p>
        <w:p>
          <w:pPr>
            <w:pStyle w:val="TOC1"/>
            <w:numPr>
              <w:ilvl w:val="0"/>
              <w:numId w:val="1"/>
            </w:numPr>
            <w:tabs>
              <w:tab w:pos="470" w:val="left" w:leader="none"/>
              <w:tab w:pos="471" w:val="left" w:leader="none"/>
              <w:tab w:pos="9289" w:val="right" w:leader="none"/>
            </w:tabs>
            <w:spacing w:line="240" w:lineRule="auto" w:before="338" w:after="0"/>
            <w:ind w:left="470" w:right="0" w:hanging="360"/>
            <w:jc w:val="left"/>
            <w:rPr>
              <w:rFonts w:ascii="Symbol"/>
              <w:sz w:val="32"/>
            </w:rPr>
          </w:pPr>
          <w:r>
            <w:rPr/>
            <w:t>Financial Statements</w:t>
            <w:tab/>
            <w:t>18-30</w:t>
          </w:r>
        </w:p>
      </w:sdtContent>
    </w:sdt>
    <w:p>
      <w:pPr>
        <w:spacing w:after="0" w:line="240" w:lineRule="auto"/>
        <w:jc w:val="left"/>
        <w:rPr>
          <w:rFonts w:ascii="Symbol"/>
          <w:sz w:val="32"/>
        </w:rPr>
        <w:sectPr>
          <w:pgSz w:w="11910" w:h="16840"/>
          <w:pgMar w:top="1580" w:bottom="280" w:left="1220" w:right="1240"/>
        </w:sectPr>
      </w:pPr>
    </w:p>
    <w:p>
      <w:pPr>
        <w:pStyle w:val="BodyText"/>
        <w:spacing w:before="9"/>
        <w:rPr>
          <w:rFonts w:ascii="Tahoma"/>
          <w:sz w:val="28"/>
        </w:rPr>
      </w:pPr>
    </w:p>
    <w:p>
      <w:pPr>
        <w:pStyle w:val="BodyText"/>
        <w:ind w:left="104"/>
        <w:rPr>
          <w:rFonts w:ascii="Tahoma"/>
          <w:sz w:val="20"/>
        </w:rPr>
      </w:pPr>
      <w:r>
        <w:rPr>
          <w:rFonts w:ascii="Tahoma"/>
          <w:sz w:val="20"/>
        </w:rPr>
        <w:drawing>
          <wp:inline distT="0" distB="0" distL="0" distR="0">
            <wp:extent cx="5921936" cy="1441703"/>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5921936" cy="1441703"/>
                    </a:xfrm>
                    <a:prstGeom prst="rect">
                      <a:avLst/>
                    </a:prstGeom>
                  </pic:spPr>
                </pic:pic>
              </a:graphicData>
            </a:graphic>
          </wp:inline>
        </w:drawing>
      </w:r>
      <w:r>
        <w:rPr>
          <w:rFonts w:ascii="Tahoma"/>
          <w:sz w:val="20"/>
        </w:rPr>
      </w:r>
    </w:p>
    <w:p>
      <w:pPr>
        <w:pStyle w:val="BodyText"/>
        <w:rPr>
          <w:rFonts w:ascii="Tahoma"/>
          <w:sz w:val="28"/>
        </w:rPr>
      </w:pPr>
    </w:p>
    <w:p>
      <w:pPr>
        <w:pStyle w:val="BodyText"/>
        <w:rPr>
          <w:rFonts w:ascii="Tahoma"/>
          <w:sz w:val="28"/>
        </w:rPr>
      </w:pPr>
    </w:p>
    <w:p>
      <w:pPr>
        <w:pStyle w:val="BodyText"/>
        <w:rPr>
          <w:rFonts w:ascii="Tahoma"/>
          <w:sz w:val="28"/>
        </w:rPr>
      </w:pPr>
    </w:p>
    <w:p>
      <w:pPr>
        <w:pStyle w:val="BodyText"/>
        <w:spacing w:before="250"/>
        <w:ind w:left="155"/>
        <w:rPr>
          <w:rFonts w:ascii="Tahoma"/>
        </w:rPr>
      </w:pPr>
      <w:r>
        <w:rPr>
          <w:rFonts w:ascii="Tahoma"/>
          <w:color w:val="1C1C1C"/>
        </w:rPr>
        <w:t>Mission: </w:t>
      </w:r>
      <w:r>
        <w:rPr>
          <w:rFonts w:ascii="Tahoma"/>
        </w:rPr>
        <w:t>Empowering the voices of people with disabilities in Western Australia.</w:t>
      </w:r>
    </w:p>
    <w:p>
      <w:pPr>
        <w:pStyle w:val="BodyText"/>
        <w:rPr>
          <w:rFonts w:ascii="Tahoma"/>
          <w:sz w:val="28"/>
        </w:rPr>
      </w:pPr>
    </w:p>
    <w:p>
      <w:pPr>
        <w:pStyle w:val="BodyText"/>
        <w:spacing w:line="360" w:lineRule="auto" w:before="243"/>
        <w:ind w:left="150"/>
        <w:rPr>
          <w:rFonts w:ascii="Tahoma"/>
        </w:rPr>
      </w:pPr>
      <w:r>
        <w:rPr>
          <w:rFonts w:ascii="Tahoma"/>
          <w:color w:val="1C1C1C"/>
        </w:rPr>
        <w:t>Vision: </w:t>
      </w:r>
      <w:r>
        <w:rPr>
          <w:rFonts w:ascii="Tahoma"/>
        </w:rPr>
        <w:t>A community where all people have a full and valued life with the freedom to make their own choices.</w:t>
      </w:r>
    </w:p>
    <w:p>
      <w:pPr>
        <w:pStyle w:val="BodyText"/>
        <w:rPr>
          <w:rFonts w:ascii="Tahoma"/>
          <w:sz w:val="36"/>
        </w:rPr>
      </w:pPr>
    </w:p>
    <w:p>
      <w:pPr>
        <w:pStyle w:val="BodyText"/>
        <w:ind w:left="150"/>
        <w:rPr>
          <w:rFonts w:ascii="Tahoma"/>
        </w:rPr>
      </w:pPr>
      <w:r>
        <w:rPr>
          <w:rFonts w:ascii="Tahoma"/>
          <w:color w:val="1C1C1C"/>
          <w:w w:val="115"/>
        </w:rPr>
        <w:t>Values:</w:t>
      </w:r>
    </w:p>
    <w:p>
      <w:pPr>
        <w:pStyle w:val="BodyText"/>
        <w:spacing w:before="7"/>
        <w:rPr>
          <w:rFonts w:ascii="Tahoma"/>
          <w:sz w:val="39"/>
        </w:rPr>
      </w:pPr>
    </w:p>
    <w:p>
      <w:pPr>
        <w:pStyle w:val="ListParagraph"/>
        <w:numPr>
          <w:ilvl w:val="0"/>
          <w:numId w:val="1"/>
        </w:numPr>
        <w:tabs>
          <w:tab w:pos="510" w:val="left" w:leader="none"/>
          <w:tab w:pos="511" w:val="left" w:leader="none"/>
        </w:tabs>
        <w:spacing w:line="240" w:lineRule="auto" w:before="1" w:after="0"/>
        <w:ind w:left="510" w:right="0" w:hanging="360"/>
        <w:jc w:val="left"/>
        <w:rPr>
          <w:rFonts w:ascii="Symbol"/>
          <w:sz w:val="20"/>
        </w:rPr>
      </w:pPr>
      <w:r>
        <w:rPr>
          <w:rFonts w:ascii="Tahoma"/>
          <w:sz w:val="24"/>
        </w:rPr>
        <w:t>We embrace diversity and participation to ensure inclusion for</w:t>
      </w:r>
      <w:r>
        <w:rPr>
          <w:rFonts w:ascii="Tahoma"/>
          <w:spacing w:val="-8"/>
          <w:sz w:val="24"/>
        </w:rPr>
        <w:t> </w:t>
      </w:r>
      <w:r>
        <w:rPr>
          <w:rFonts w:ascii="Tahoma"/>
          <w:sz w:val="24"/>
        </w:rPr>
        <w:t>all</w:t>
      </w:r>
    </w:p>
    <w:p>
      <w:pPr>
        <w:pStyle w:val="ListParagraph"/>
        <w:numPr>
          <w:ilvl w:val="0"/>
          <w:numId w:val="1"/>
        </w:numPr>
        <w:tabs>
          <w:tab w:pos="510" w:val="left" w:leader="none"/>
          <w:tab w:pos="511" w:val="left" w:leader="none"/>
        </w:tabs>
        <w:spacing w:line="240" w:lineRule="auto" w:before="41" w:after="0"/>
        <w:ind w:left="510" w:right="0" w:hanging="360"/>
        <w:jc w:val="left"/>
        <w:rPr>
          <w:rFonts w:ascii="Symbol"/>
          <w:sz w:val="20"/>
        </w:rPr>
      </w:pPr>
      <w:r>
        <w:rPr>
          <w:rFonts w:ascii="Tahoma"/>
          <w:sz w:val="24"/>
        </w:rPr>
        <w:t>We believe respect is fundamental to all positive</w:t>
      </w:r>
      <w:r>
        <w:rPr>
          <w:rFonts w:ascii="Tahoma"/>
          <w:spacing w:val="-7"/>
          <w:sz w:val="24"/>
        </w:rPr>
        <w:t> </w:t>
      </w:r>
      <w:r>
        <w:rPr>
          <w:rFonts w:ascii="Tahoma"/>
          <w:sz w:val="24"/>
        </w:rPr>
        <w:t>relationships</w:t>
      </w:r>
    </w:p>
    <w:p>
      <w:pPr>
        <w:pStyle w:val="ListParagraph"/>
        <w:numPr>
          <w:ilvl w:val="0"/>
          <w:numId w:val="1"/>
        </w:numPr>
        <w:tabs>
          <w:tab w:pos="510" w:val="left" w:leader="none"/>
          <w:tab w:pos="511" w:val="left" w:leader="none"/>
        </w:tabs>
        <w:spacing w:line="240" w:lineRule="auto" w:before="44" w:after="0"/>
        <w:ind w:left="510" w:right="0" w:hanging="360"/>
        <w:jc w:val="left"/>
        <w:rPr>
          <w:rFonts w:ascii="Symbol"/>
          <w:sz w:val="20"/>
        </w:rPr>
      </w:pPr>
      <w:r>
        <w:rPr>
          <w:rFonts w:ascii="Tahoma"/>
          <w:sz w:val="24"/>
        </w:rPr>
        <w:t>We seek to enhance opportunity and remove barriers to ensure real</w:t>
      </w:r>
      <w:r>
        <w:rPr>
          <w:rFonts w:ascii="Tahoma"/>
          <w:spacing w:val="-16"/>
          <w:sz w:val="24"/>
        </w:rPr>
        <w:t> </w:t>
      </w:r>
      <w:r>
        <w:rPr>
          <w:rFonts w:ascii="Tahoma"/>
          <w:sz w:val="24"/>
        </w:rPr>
        <w:t>choice</w:t>
      </w:r>
    </w:p>
    <w:p>
      <w:pPr>
        <w:pStyle w:val="ListParagraph"/>
        <w:numPr>
          <w:ilvl w:val="0"/>
          <w:numId w:val="1"/>
        </w:numPr>
        <w:tabs>
          <w:tab w:pos="510" w:val="left" w:leader="none"/>
          <w:tab w:pos="511" w:val="left" w:leader="none"/>
        </w:tabs>
        <w:spacing w:line="240" w:lineRule="auto" w:before="44" w:after="0"/>
        <w:ind w:left="510" w:right="0" w:hanging="360"/>
        <w:jc w:val="left"/>
        <w:rPr>
          <w:rFonts w:ascii="Symbol" w:hAnsi="Symbol"/>
          <w:sz w:val="20"/>
        </w:rPr>
      </w:pPr>
      <w:r>
        <w:rPr>
          <w:rFonts w:ascii="Tahoma" w:hAnsi="Tahoma"/>
          <w:sz w:val="24"/>
        </w:rPr>
        <w:t>We are committed to every citizen’s right to</w:t>
      </w:r>
      <w:r>
        <w:rPr>
          <w:rFonts w:ascii="Tahoma" w:hAnsi="Tahoma"/>
          <w:spacing w:val="-8"/>
          <w:sz w:val="24"/>
        </w:rPr>
        <w:t> </w:t>
      </w:r>
      <w:r>
        <w:rPr>
          <w:rFonts w:ascii="Tahoma" w:hAnsi="Tahoma"/>
          <w:sz w:val="24"/>
        </w:rPr>
        <w:t>equality</w:t>
      </w:r>
    </w:p>
    <w:p>
      <w:pPr>
        <w:pStyle w:val="BodyText"/>
        <w:rPr>
          <w:rFonts w:ascii="Tahoma"/>
          <w:sz w:val="28"/>
        </w:rPr>
      </w:pPr>
    </w:p>
    <w:p>
      <w:pPr>
        <w:pStyle w:val="BodyText"/>
        <w:rPr>
          <w:rFonts w:ascii="Tahoma"/>
          <w:sz w:val="28"/>
        </w:rPr>
      </w:pPr>
    </w:p>
    <w:p>
      <w:pPr>
        <w:pStyle w:val="BodyText"/>
        <w:spacing w:before="9"/>
        <w:rPr>
          <w:rFonts w:ascii="Tahoma"/>
          <w:sz w:val="26"/>
        </w:rPr>
      </w:pPr>
    </w:p>
    <w:p>
      <w:pPr>
        <w:pStyle w:val="BodyText"/>
        <w:ind w:left="150" w:right="86" w:hanging="1"/>
        <w:rPr>
          <w:rFonts w:ascii="Tahoma"/>
        </w:rPr>
      </w:pPr>
      <w:r>
        <w:rPr>
          <w:rFonts w:ascii="Tahoma"/>
        </w:rPr>
        <w:t>PWdWA is funded by the Disability Services Commission and the Department of Families, Housing, Community Services and Indigenous Affairs.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9"/>
        <w:rPr>
          <w:rFonts w:ascii="Tahoma"/>
          <w:sz w:val="10"/>
        </w:rPr>
      </w:pPr>
      <w:r>
        <w:rPr/>
        <w:pict>
          <v:group style="position:absolute;margin-left:64.474251pt;margin-top:8.444778pt;width:466.95pt;height:113.65pt;mso-position-horizontal-relative:page;mso-position-vertical-relative:paragraph;z-index:1048;mso-wrap-distance-left:0;mso-wrap-distance-right:0" coordorigin="1289,169" coordsize="9339,2273">
            <v:shape style="position:absolute;left:1289;top:168;width:9339;height:2273" type="#_x0000_t75" stroked="false">
              <v:imagedata r:id="rId10" o:title=""/>
            </v:shape>
            <v:line style="position:absolute" from="1289,2434" to="10628,2434" stroked="true" strokeweight=".7pt" strokecolor="#000000">
              <v:stroke dashstyle="solid"/>
            </v:line>
            <v:line style="position:absolute" from="1297,183" to="1297,2427" stroked="true" strokeweight=".719971pt" strokecolor="#000000">
              <v:stroke dashstyle="solid"/>
            </v:line>
            <v:line style="position:absolute" from="1289,176" to="10628,176" stroked="true" strokeweight=".7pt" strokecolor="#000000">
              <v:stroke dashstyle="solid"/>
            </v:line>
            <v:line style="position:absolute" from="10620,183" to="10620,2427" stroked="true" strokeweight=".719971pt" strokecolor="#000000">
              <v:stroke dashstyle="solid"/>
            </v:line>
            <w10:wrap type="topAndBottom"/>
          </v:group>
        </w:pict>
      </w:r>
    </w:p>
    <w:p>
      <w:pPr>
        <w:spacing w:after="0"/>
        <w:rPr>
          <w:rFonts w:ascii="Tahoma"/>
          <w:sz w:val="10"/>
        </w:rPr>
        <w:sectPr>
          <w:footerReference w:type="default" r:id="rId8"/>
          <w:pgSz w:w="11910" w:h="16840"/>
          <w:pgMar w:footer="1334" w:header="0" w:top="1580" w:bottom="1520" w:left="1180" w:right="1160"/>
          <w:pgNumType w:start="1"/>
        </w:sectPr>
      </w:pPr>
    </w:p>
    <w:p>
      <w:pPr>
        <w:pStyle w:val="BodyText"/>
        <w:spacing w:before="8"/>
        <w:rPr>
          <w:rFonts w:ascii="Tahoma"/>
          <w:sz w:val="9"/>
        </w:rPr>
      </w:pPr>
    </w:p>
    <w:p>
      <w:pPr>
        <w:pStyle w:val="BodyText"/>
        <w:spacing w:before="101"/>
        <w:ind w:left="150"/>
        <w:jc w:val="both"/>
        <w:rPr>
          <w:rFonts w:ascii="Tahoma" w:hAnsi="Tahoma"/>
        </w:rPr>
      </w:pPr>
      <w:r>
        <w:rPr/>
        <w:pict>
          <v:group style="position:absolute;margin-left:434.976257pt;margin-top:11.597479pt;width:88.75pt;height:127.9pt;mso-position-horizontal-relative:page;mso-position-vertical-relative:paragraph;z-index:1072" coordorigin="8700,232" coordsize="1775,2558">
            <v:shape style="position:absolute;left:8699;top:231;width:1774;height:2556" type="#_x0000_t75" stroked="false">
              <v:imagedata r:id="rId11" o:title=""/>
            </v:shape>
            <v:line style="position:absolute" from="8700,2788" to="10474,2788" stroked="true" strokeweight=".2pt" strokecolor="#000000">
              <v:stroke dashstyle="solid"/>
            </v:line>
            <v:line style="position:absolute" from="8703,238" to="8703,2786" stroked="true" strokeweight=".23999pt" strokecolor="#000000">
              <v:stroke dashstyle="solid"/>
            </v:line>
            <v:line style="position:absolute" from="8700,236" to="10474,236" stroked="true" strokeweight=".2pt" strokecolor="#000000">
              <v:stroke dashstyle="solid"/>
            </v:line>
            <v:line style="position:absolute" from="10472,239" to="10472,2785" stroked="true" strokeweight=".23999pt" strokecolor="#000000">
              <v:stroke dashstyle="solid"/>
            </v:line>
            <w10:wrap type="none"/>
          </v:group>
        </w:pict>
      </w:r>
      <w:r>
        <w:rPr>
          <w:rFonts w:ascii="Tahoma" w:hAnsi="Tahoma"/>
          <w:w w:val="120"/>
        </w:rPr>
        <w:t>President’s Report</w:t>
      </w:r>
    </w:p>
    <w:p>
      <w:pPr>
        <w:pStyle w:val="BodyText"/>
        <w:spacing w:before="9"/>
        <w:rPr>
          <w:rFonts w:ascii="Tahoma"/>
          <w:sz w:val="22"/>
        </w:rPr>
      </w:pPr>
    </w:p>
    <w:p>
      <w:pPr>
        <w:pStyle w:val="BodyText"/>
        <w:ind w:left="150" w:right="2240"/>
        <w:jc w:val="both"/>
      </w:pPr>
      <w:r>
        <w:rPr/>
        <w:t>This year I am writing my last President’s Report as I have held this position for six years and it is time for me to step down. I take this opportunity to thank all members for electing me to this important position. It has been a wonderful learning experience, at times challenging but always an honour to serve and lead such a highly regarded advocacy organisation. During the year PWdWA has achieved a great deal, none of which would have been possible without the efforts of the dedicated staff and Committee of Management.</w:t>
      </w:r>
    </w:p>
    <w:p>
      <w:pPr>
        <w:pStyle w:val="BodyText"/>
      </w:pPr>
    </w:p>
    <w:p>
      <w:pPr>
        <w:pStyle w:val="BodyText"/>
        <w:ind w:left="150" w:right="164"/>
        <w:jc w:val="both"/>
      </w:pPr>
      <w:r>
        <w:rPr/>
        <w:t>Last year I reported that Mark Goerke had been appointed as Executive Director. Unfortunately, Mark was unable to continue in the position and resigned last August. Andrew Jefferson, stepped into the position of Acting Executive Director at the request of the Committee of Management. Andrew maintained stability and undertook  a  review of the roles of staff and the future of PWdWA. In December 2010  the Committee was pleased to appoint Andrew to the position of Executive Director. Following Andrew’s appointment Carmen Pratt-Hincks was appointed as Acting Senior Individual Advocate. Carmen performed well in this position and at the end of June 2011 was appointed as Senior Advocate. This position carries more responsibility than that of Senior Individual Advocate and has been redesigned to take on the role of deputy to the Executive Director. Congratulations and thanks to both Andrew and Carmen.</w:t>
      </w:r>
    </w:p>
    <w:p>
      <w:pPr>
        <w:pStyle w:val="BodyText"/>
        <w:spacing w:before="9"/>
        <w:rPr>
          <w:sz w:val="23"/>
        </w:rPr>
      </w:pPr>
    </w:p>
    <w:p>
      <w:pPr>
        <w:pStyle w:val="BodyText"/>
        <w:spacing w:line="276" w:lineRule="auto" w:before="1"/>
        <w:ind w:left="150" w:right="165"/>
        <w:jc w:val="both"/>
      </w:pPr>
      <w:r>
        <w:rPr/>
        <w:t>One of the highlights of the past year was the Your Rights, Your Voice course which was run by PWdWA for younger people with a disability wanting to expand their experience, outlook and knowledge. This project was supported by the Disability Services Commission (DSC). Six people attended the course, requiring a great commitment on their part. The course included guest speakers, activities and new challenges which promoted discussion and understanding. All participants are to be commended on successfully completing the course.</w:t>
      </w:r>
    </w:p>
    <w:p>
      <w:pPr>
        <w:pStyle w:val="BodyText"/>
        <w:spacing w:line="276" w:lineRule="auto" w:before="200"/>
        <w:ind w:left="150" w:right="163"/>
        <w:jc w:val="both"/>
      </w:pPr>
      <w:r>
        <w:rPr/>
        <w:t>Along with many other organisations and individuals PWdWA addressed the Productivity Commission regarding a National Disability Insurance Scheme (NDIS). Along with Andrew Jefferson and Kerrie Duff I spoke to the  Productivity Commissioners in Perth prior to its draft report. PWdWA spoke again after reflecting on the content in the draft report . PWdWA’s contribution was well received and we were able to make important points regarding the need for independent advocacy in any new system. PWdWA also submitted a written submission. The discussion  surrounding the NDIS led to a number a forums being held around Perth to further the exchange of information. PWdWA hosted a forum in conjunction with the Australian Federation of Disability Organisations (AFDO) in Mandurah. Andrew Jefferson was also able to attend a forum in Broome. Andrew was in Broome for the opening of the Kimberley Advocacy</w:t>
      </w:r>
      <w:r>
        <w:rPr>
          <w:spacing w:val="-5"/>
        </w:rPr>
        <w:t> </w:t>
      </w:r>
      <w:r>
        <w:rPr/>
        <w:t>Service.</w:t>
      </w:r>
    </w:p>
    <w:p>
      <w:pPr>
        <w:spacing w:before="1"/>
        <w:ind w:left="0" w:right="209" w:firstLine="0"/>
        <w:jc w:val="right"/>
        <w:rPr>
          <w:sz w:val="16"/>
        </w:rPr>
      </w:pPr>
      <w:r>
        <w:rPr>
          <w:sz w:val="16"/>
        </w:rPr>
        <w:t>(continued page 3)</w:t>
      </w:r>
    </w:p>
    <w:p>
      <w:pPr>
        <w:spacing w:after="0"/>
        <w:jc w:val="right"/>
        <w:rPr>
          <w:sz w:val="16"/>
        </w:rPr>
        <w:sectPr>
          <w:pgSz w:w="11910" w:h="16840"/>
          <w:pgMar w:header="0" w:footer="1334" w:top="1580" w:bottom="1520" w:left="1180" w:right="1160"/>
        </w:sectPr>
      </w:pPr>
    </w:p>
    <w:p>
      <w:pPr>
        <w:pStyle w:val="BodyText"/>
        <w:spacing w:before="10"/>
        <w:rPr>
          <w:sz w:val="26"/>
        </w:rPr>
      </w:pPr>
    </w:p>
    <w:p>
      <w:pPr>
        <w:spacing w:before="101"/>
        <w:ind w:left="155" w:right="0" w:firstLine="0"/>
        <w:jc w:val="both"/>
        <w:rPr>
          <w:rFonts w:ascii="Tahoma"/>
          <w:sz w:val="16"/>
        </w:rPr>
      </w:pPr>
      <w:r>
        <w:rPr>
          <w:rFonts w:ascii="Tahoma"/>
          <w:sz w:val="16"/>
        </w:rPr>
        <w:t>(continued from page 2)</w:t>
      </w:r>
    </w:p>
    <w:p>
      <w:pPr>
        <w:pStyle w:val="BodyText"/>
        <w:spacing w:before="2"/>
        <w:rPr>
          <w:rFonts w:ascii="Tahoma"/>
          <w:sz w:val="16"/>
        </w:rPr>
      </w:pPr>
    </w:p>
    <w:p>
      <w:pPr>
        <w:pStyle w:val="BodyText"/>
        <w:ind w:left="155" w:right="195"/>
        <w:jc w:val="both"/>
        <w:rPr>
          <w:rFonts w:ascii="Tahoma"/>
        </w:rPr>
      </w:pPr>
      <w:r>
        <w:rPr>
          <w:rFonts w:ascii="Tahoma"/>
        </w:rPr>
        <w:t>PWdWA are members of the steering group that supports this important service that is managed by the Ethnic Disability Advocacy Centre (EDAC).</w:t>
      </w:r>
    </w:p>
    <w:p>
      <w:pPr>
        <w:pStyle w:val="BodyText"/>
        <w:spacing w:before="11"/>
        <w:rPr>
          <w:rFonts w:ascii="Tahoma"/>
          <w:sz w:val="23"/>
        </w:rPr>
      </w:pPr>
    </w:p>
    <w:p>
      <w:pPr>
        <w:pStyle w:val="BodyText"/>
        <w:spacing w:before="1"/>
        <w:ind w:left="155" w:right="192"/>
        <w:jc w:val="both"/>
        <w:rPr>
          <w:rFonts w:ascii="Tahoma"/>
        </w:rPr>
      </w:pPr>
      <w:r>
        <w:rPr>
          <w:rFonts w:ascii="Tahoma"/>
        </w:rPr>
        <w:t>PWdWA has also continued to work with People with Disability Australia (PWDA) based in Sydney. I have served as an elected member of the PWDA Board for two years as well as being a member of their sub-committees. Last year I reported that the two agencies were working on a Memorandum of Understanding (MOU). I am pleased to report that in May this year the President of PWDA, Jan Daisley and I signed a MOU between the two consumer led organisations. This is an important partnership that  will strengthen the voices of people with disabilities across</w:t>
      </w:r>
      <w:r>
        <w:rPr>
          <w:rFonts w:ascii="Tahoma"/>
          <w:spacing w:val="-10"/>
        </w:rPr>
        <w:t> </w:t>
      </w:r>
      <w:r>
        <w:rPr>
          <w:rFonts w:ascii="Tahoma"/>
        </w:rPr>
        <w:t>Australia.</w:t>
      </w:r>
    </w:p>
    <w:p>
      <w:pPr>
        <w:pStyle w:val="BodyText"/>
        <w:spacing w:before="10"/>
        <w:rPr>
          <w:rFonts w:ascii="Tahoma"/>
          <w:sz w:val="23"/>
        </w:rPr>
      </w:pPr>
    </w:p>
    <w:p>
      <w:pPr>
        <w:pStyle w:val="BodyText"/>
        <w:ind w:left="155" w:right="193"/>
        <w:jc w:val="both"/>
        <w:rPr>
          <w:rFonts w:ascii="Tahoma"/>
        </w:rPr>
      </w:pPr>
      <w:r>
        <w:rPr>
          <w:rFonts w:ascii="Tahoma"/>
        </w:rPr>
        <w:t>Many members will be aware that PWdWA now has a Facebook page. It is another vehicle that permits the exchange of information with members, individuals and other organisations. PWdWA Information Advocate, Stuart Jenkinson maintains our Facebook page and website. PWdWA is also using Skype to assist with communication with other agencies, members and people using our services. PWdWA will continue to explore other developments in information technology to improve</w:t>
      </w:r>
      <w:r>
        <w:rPr>
          <w:rFonts w:ascii="Tahoma"/>
          <w:spacing w:val="-22"/>
        </w:rPr>
        <w:t> </w:t>
      </w:r>
      <w:r>
        <w:rPr>
          <w:rFonts w:ascii="Tahoma"/>
        </w:rPr>
        <w:t>communication.</w:t>
      </w:r>
    </w:p>
    <w:p>
      <w:pPr>
        <w:pStyle w:val="BodyText"/>
        <w:rPr>
          <w:rFonts w:ascii="Tahoma"/>
        </w:rPr>
      </w:pPr>
    </w:p>
    <w:p>
      <w:pPr>
        <w:pStyle w:val="BodyText"/>
        <w:ind w:left="155" w:right="193"/>
        <w:jc w:val="both"/>
        <w:rPr>
          <w:rFonts w:ascii="Tahoma"/>
        </w:rPr>
      </w:pPr>
      <w:r>
        <w:rPr>
          <w:rFonts w:ascii="Tahoma"/>
        </w:rPr>
        <w:t>PWdWA was pleased that the Federal Government has continued to fund our services, particularly the Individual Advocacy Service in the Peel Region. Advocate Keith Read has developed important links with community organisations and individuals in the area. People welcome an advocate based in their own area who is aware of local issues. I am pleased to report that after a long search for a suitable location we have secured an office for our service in Mandurah.</w:t>
      </w:r>
    </w:p>
    <w:p>
      <w:pPr>
        <w:pStyle w:val="BodyText"/>
        <w:rPr>
          <w:rFonts w:ascii="Tahoma"/>
        </w:rPr>
      </w:pPr>
    </w:p>
    <w:p>
      <w:pPr>
        <w:pStyle w:val="BodyText"/>
        <w:spacing w:before="1"/>
        <w:ind w:left="155" w:right="194"/>
        <w:jc w:val="both"/>
        <w:rPr>
          <w:rFonts w:ascii="Tahoma" w:hAnsi="Tahoma"/>
        </w:rPr>
      </w:pPr>
      <w:r>
        <w:rPr>
          <w:rFonts w:ascii="Tahoma" w:hAnsi="Tahoma"/>
        </w:rPr>
        <w:t>It has been a year of consolidation. A lot of unseen work has gone into strengthening the systems and infrastructure that supports our organisation. PWdWA has seen staffing changes and the development of new roles which have enhanced the organisation’s ability to operate effectively. PWdWA has been involved in both systemic and individual advocacy and has strived to be a voice for those in the community who are most</w:t>
      </w:r>
      <w:r>
        <w:rPr>
          <w:rFonts w:ascii="Tahoma" w:hAnsi="Tahoma"/>
          <w:spacing w:val="-4"/>
        </w:rPr>
        <w:t> </w:t>
      </w:r>
      <w:r>
        <w:rPr>
          <w:rFonts w:ascii="Tahoma" w:hAnsi="Tahoma"/>
        </w:rPr>
        <w:t>vulnerable.</w:t>
      </w:r>
    </w:p>
    <w:p>
      <w:pPr>
        <w:pStyle w:val="BodyText"/>
        <w:rPr>
          <w:rFonts w:ascii="Tahoma"/>
        </w:rPr>
      </w:pPr>
    </w:p>
    <w:p>
      <w:pPr>
        <w:pStyle w:val="BodyText"/>
        <w:ind w:left="155" w:right="191"/>
        <w:jc w:val="both"/>
        <w:rPr>
          <w:rFonts w:ascii="Tahoma"/>
        </w:rPr>
      </w:pPr>
      <w:r>
        <w:rPr>
          <w:rFonts w:ascii="Tahoma"/>
        </w:rPr>
        <w:t>My thanks again to all staff, members of the Committee of Management, general members and all others who have given me so much support during my time as President. I offer my particular thanks to Kaye Regan, Luke Garswood, Andrew Jefferson and Dr Ron Chalmers, the Director General of the Disability Services Commission, who have so willingly shared their time, advice and wealth of experience. I wish the incoming President every success and great pleasure in carrying out the duties of President for such a wonderful organisation.</w:t>
      </w:r>
    </w:p>
    <w:p>
      <w:pPr>
        <w:pStyle w:val="BodyText"/>
        <w:rPr>
          <w:rFonts w:ascii="Tahoma"/>
          <w:sz w:val="28"/>
        </w:rPr>
      </w:pPr>
    </w:p>
    <w:p>
      <w:pPr>
        <w:pStyle w:val="BodyText"/>
        <w:rPr>
          <w:rFonts w:ascii="Tahoma"/>
          <w:sz w:val="28"/>
        </w:rPr>
      </w:pPr>
    </w:p>
    <w:p>
      <w:pPr>
        <w:pStyle w:val="Heading5"/>
        <w:spacing w:before="191"/>
        <w:ind w:left="155" w:right="7554"/>
      </w:pPr>
      <w:r>
        <w:rPr/>
        <w:t>Mary-Anne Bath President</w:t>
      </w:r>
    </w:p>
    <w:p>
      <w:pPr>
        <w:spacing w:after="0"/>
        <w:sectPr>
          <w:footerReference w:type="default" r:id="rId12"/>
          <w:pgSz w:w="11910" w:h="16840"/>
          <w:pgMar w:footer="1169" w:header="0" w:top="1580" w:bottom="1360" w:left="1180" w:right="1160"/>
        </w:sectPr>
      </w:pPr>
    </w:p>
    <w:p>
      <w:pPr>
        <w:pStyle w:val="BodyText"/>
        <w:spacing w:before="10"/>
        <w:rPr>
          <w:b/>
          <w:sz w:val="25"/>
        </w:rPr>
      </w:pPr>
    </w:p>
    <w:p>
      <w:pPr>
        <w:pStyle w:val="Heading5"/>
        <w:spacing w:before="100"/>
        <w:ind w:left="110"/>
        <w:jc w:val="both"/>
        <w:rPr>
          <w:rFonts w:ascii="Tahoma" w:hAnsi="Tahoma"/>
        </w:rPr>
      </w:pPr>
      <w:r>
        <w:rPr/>
        <w:pict>
          <v:group style="position:absolute;margin-left:439.917816pt;margin-top:8.411148pt;width:86.1pt;height:124.35pt;mso-position-horizontal-relative:page;mso-position-vertical-relative:paragraph;z-index:1096" coordorigin="8798,168" coordsize="1722,2487">
            <v:shape style="position:absolute;left:8798;top:168;width:1721;height:2487" type="#_x0000_t75" stroked="false">
              <v:imagedata r:id="rId14" o:title=""/>
            </v:shape>
            <v:line style="position:absolute" from="8799,2652" to="10520,2652" stroked="true" strokeweight=".2pt" strokecolor="#000000">
              <v:stroke dashstyle="solid"/>
            </v:line>
            <v:line style="position:absolute" from="8801,174" to="8801,2650" stroked="true" strokeweight=".24pt" strokecolor="#000000">
              <v:stroke dashstyle="solid"/>
            </v:line>
            <v:line style="position:absolute" from="8799,172" to="10520,172" stroked="true" strokeweight=".2pt" strokecolor="#000000">
              <v:stroke dashstyle="solid"/>
            </v:line>
            <v:line style="position:absolute" from="10517,175" to="10517,2650" stroked="true" strokeweight=".24pt" strokecolor="#000000">
              <v:stroke dashstyle="solid"/>
            </v:line>
            <w10:wrap type="none"/>
          </v:group>
        </w:pict>
      </w:r>
      <w:bookmarkStart w:name="_TOC_250003" w:id="1"/>
      <w:bookmarkEnd w:id="1"/>
      <w:r>
        <w:rPr>
          <w:rFonts w:ascii="Tahoma" w:hAnsi="Tahoma"/>
        </w:rPr>
        <w:t>Treasurer’s Report</w:t>
      </w:r>
    </w:p>
    <w:p>
      <w:pPr>
        <w:pStyle w:val="BodyText"/>
        <w:rPr>
          <w:rFonts w:ascii="Tahoma"/>
          <w:b/>
          <w:sz w:val="28"/>
        </w:rPr>
      </w:pPr>
    </w:p>
    <w:p>
      <w:pPr>
        <w:pStyle w:val="BodyText"/>
        <w:spacing w:before="229"/>
        <w:ind w:left="110" w:right="2085"/>
        <w:jc w:val="both"/>
        <w:rPr>
          <w:rFonts w:ascii="Tahoma"/>
        </w:rPr>
      </w:pPr>
      <w:r>
        <w:rPr>
          <w:rFonts w:ascii="Tahoma"/>
        </w:rPr>
        <w:t>During the past financial year, PWdWA has maintained its many activities and has had a highly successful year. We have been involved in major events such as National Disability Insurance Scheme (NDIS), the opening of the Kimberley Advocacy Project and represented the needs of people with disabilities at a number of events.</w:t>
      </w:r>
    </w:p>
    <w:p>
      <w:pPr>
        <w:pStyle w:val="BodyText"/>
        <w:rPr>
          <w:rFonts w:ascii="Tahoma"/>
        </w:rPr>
      </w:pPr>
    </w:p>
    <w:p>
      <w:pPr>
        <w:pStyle w:val="BodyText"/>
        <w:tabs>
          <w:tab w:pos="5857" w:val="left" w:leader="none"/>
        </w:tabs>
        <w:ind w:left="110" w:right="107"/>
        <w:rPr>
          <w:rFonts w:ascii="Tahoma"/>
        </w:rPr>
      </w:pPr>
      <w:r>
        <w:rPr>
          <w:rFonts w:ascii="Tahoma"/>
        </w:rPr>
        <w:t>Project money that was carried over from 2009-2010 financial period was used to run a very successful Your Rights Your Voice course, which enabled younger people with a disability</w:t>
      </w:r>
      <w:r>
        <w:rPr>
          <w:rFonts w:ascii="Tahoma"/>
          <w:spacing w:val="31"/>
        </w:rPr>
        <w:t> </w:t>
      </w:r>
      <w:r>
        <w:rPr>
          <w:rFonts w:ascii="Tahoma"/>
        </w:rPr>
        <w:t>to</w:t>
      </w:r>
      <w:r>
        <w:rPr>
          <w:rFonts w:ascii="Tahoma"/>
          <w:spacing w:val="31"/>
        </w:rPr>
        <w:t> </w:t>
      </w:r>
      <w:r>
        <w:rPr>
          <w:rFonts w:ascii="Tahoma"/>
        </w:rPr>
        <w:t>further</w:t>
      </w:r>
      <w:r>
        <w:rPr>
          <w:rFonts w:ascii="Tahoma"/>
          <w:spacing w:val="31"/>
        </w:rPr>
        <w:t> </w:t>
      </w:r>
      <w:r>
        <w:rPr>
          <w:rFonts w:ascii="Tahoma"/>
        </w:rPr>
        <w:t>their</w:t>
      </w:r>
      <w:r>
        <w:rPr>
          <w:rFonts w:ascii="Tahoma"/>
          <w:spacing w:val="31"/>
        </w:rPr>
        <w:t> </w:t>
      </w:r>
      <w:r>
        <w:rPr>
          <w:rFonts w:ascii="Tahoma"/>
        </w:rPr>
        <w:t>confidence</w:t>
      </w:r>
      <w:r>
        <w:rPr>
          <w:rFonts w:ascii="Tahoma"/>
          <w:spacing w:val="31"/>
        </w:rPr>
        <w:t> </w:t>
      </w:r>
      <w:r>
        <w:rPr>
          <w:rFonts w:ascii="Tahoma"/>
        </w:rPr>
        <w:t>and</w:t>
      </w:r>
      <w:r>
        <w:rPr>
          <w:rFonts w:ascii="Tahoma"/>
          <w:spacing w:val="31"/>
        </w:rPr>
        <w:t> </w:t>
      </w:r>
      <w:r>
        <w:rPr>
          <w:rFonts w:ascii="Tahoma"/>
        </w:rPr>
        <w:t>potential.</w:t>
        <w:tab/>
        <w:t>Other monies carried over were used to purchase vital software to assist with more accessible technology. These monies have now been acquitted fully with all programs and projects were very successful.</w:t>
      </w:r>
    </w:p>
    <w:p>
      <w:pPr>
        <w:pStyle w:val="BodyText"/>
        <w:rPr>
          <w:rFonts w:ascii="Tahoma"/>
        </w:rPr>
      </w:pPr>
    </w:p>
    <w:p>
      <w:pPr>
        <w:pStyle w:val="BodyText"/>
        <w:spacing w:before="1"/>
        <w:ind w:left="110" w:right="107"/>
        <w:jc w:val="both"/>
        <w:rPr>
          <w:rFonts w:ascii="Tahoma"/>
        </w:rPr>
      </w:pPr>
      <w:r>
        <w:rPr>
          <w:rFonts w:ascii="Tahoma"/>
        </w:rPr>
        <w:t>The Committee has remained active in overseeing the financial operation of the organisation. During the year an analysis of our financial controls was undertaken and implementing the recommended improvements identified in this review will be an ongoing assignment in the coming year.</w:t>
      </w:r>
    </w:p>
    <w:p>
      <w:pPr>
        <w:pStyle w:val="BodyText"/>
        <w:spacing w:before="11"/>
        <w:rPr>
          <w:rFonts w:ascii="Tahoma"/>
          <w:sz w:val="23"/>
        </w:rPr>
      </w:pPr>
    </w:p>
    <w:p>
      <w:pPr>
        <w:pStyle w:val="BodyText"/>
        <w:spacing w:before="1"/>
        <w:ind w:left="110" w:right="107"/>
        <w:jc w:val="both"/>
        <w:rPr>
          <w:rFonts w:ascii="Tahoma"/>
        </w:rPr>
      </w:pPr>
      <w:r>
        <w:rPr>
          <w:rFonts w:ascii="Tahoma"/>
        </w:rPr>
        <w:t>I would like to express thanks Graham Holman and the staff at Independent Administration who provided professional accounting services and advice throughout the year. I also wish to acknowledge and thank the staff of PWdWA, and of course  our Executive Director, Andrew Jefferson, who worked closely with the Committee to ensure that PWdWA kept within its</w:t>
      </w:r>
      <w:r>
        <w:rPr>
          <w:rFonts w:ascii="Tahoma"/>
          <w:spacing w:val="-3"/>
        </w:rPr>
        <w:t> </w:t>
      </w:r>
      <w:r>
        <w:rPr>
          <w:rFonts w:ascii="Tahoma"/>
        </w:rPr>
        <w:t>budget.</w:t>
      </w:r>
    </w:p>
    <w:p>
      <w:pPr>
        <w:pStyle w:val="BodyText"/>
        <w:spacing w:before="11"/>
        <w:rPr>
          <w:rFonts w:ascii="Tahoma"/>
          <w:sz w:val="23"/>
        </w:rPr>
      </w:pPr>
    </w:p>
    <w:p>
      <w:pPr>
        <w:pStyle w:val="BodyText"/>
        <w:ind w:left="110" w:right="106"/>
        <w:jc w:val="both"/>
        <w:rPr>
          <w:rFonts w:ascii="Tahoma"/>
        </w:rPr>
      </w:pPr>
      <w:r>
        <w:rPr>
          <w:rFonts w:ascii="Tahoma"/>
        </w:rPr>
        <w:t>On behalf of the Committee and members of PWdWA we acknowledge the ongoing support of our core funding bodies Disabilities Services Commission (DSC) and the Commonwealth Department of Families, Housing, Communities and Indigenous Affairs (FaHCSIA).</w:t>
      </w:r>
    </w:p>
    <w:p>
      <w:pPr>
        <w:pStyle w:val="BodyText"/>
        <w:rPr>
          <w:rFonts w:ascii="Tahoma"/>
        </w:rPr>
      </w:pPr>
    </w:p>
    <w:p>
      <w:pPr>
        <w:pStyle w:val="BodyText"/>
        <w:ind w:left="110" w:right="108"/>
        <w:jc w:val="both"/>
        <w:rPr>
          <w:rFonts w:ascii="Tahoma" w:hAnsi="Tahoma"/>
        </w:rPr>
      </w:pPr>
      <w:r>
        <w:rPr>
          <w:rFonts w:ascii="Tahoma" w:hAnsi="Tahoma"/>
        </w:rPr>
        <w:t>It is very clear that PWdWA's standing in the disability area is well known and the organisation’s strength both financially and strategically will ensure that we are well placed to meet future challenges.</w:t>
      </w:r>
    </w:p>
    <w:p>
      <w:pPr>
        <w:pStyle w:val="BodyText"/>
        <w:rPr>
          <w:rFonts w:ascii="Tahoma"/>
          <w:sz w:val="28"/>
        </w:rPr>
      </w:pPr>
    </w:p>
    <w:p>
      <w:pPr>
        <w:pStyle w:val="BodyText"/>
        <w:rPr>
          <w:rFonts w:ascii="Tahoma"/>
          <w:sz w:val="28"/>
        </w:rPr>
      </w:pPr>
    </w:p>
    <w:p>
      <w:pPr>
        <w:pStyle w:val="BodyText"/>
        <w:rPr>
          <w:rFonts w:ascii="Tahoma"/>
          <w:sz w:val="28"/>
        </w:rPr>
      </w:pPr>
    </w:p>
    <w:p>
      <w:pPr>
        <w:pStyle w:val="BodyText"/>
        <w:spacing w:before="6"/>
        <w:rPr>
          <w:rFonts w:ascii="Tahoma"/>
          <w:sz w:val="36"/>
        </w:rPr>
      </w:pPr>
    </w:p>
    <w:p>
      <w:pPr>
        <w:pStyle w:val="Heading5"/>
        <w:spacing w:line="276" w:lineRule="auto"/>
        <w:ind w:left="110" w:right="6939"/>
      </w:pPr>
      <w:r>
        <w:rPr/>
        <w:t>Sharon Van der Laan Treasurer</w:t>
      </w:r>
    </w:p>
    <w:p>
      <w:pPr>
        <w:spacing w:after="0" w:line="276" w:lineRule="auto"/>
        <w:sectPr>
          <w:footerReference w:type="default" r:id="rId13"/>
          <w:pgSz w:w="11910" w:h="16840"/>
          <w:pgMar w:footer="1159" w:header="0" w:top="1580" w:bottom="1340" w:left="1220" w:right="1220"/>
        </w:sectPr>
      </w:pPr>
    </w:p>
    <w:p>
      <w:pPr>
        <w:pStyle w:val="BodyText"/>
        <w:spacing w:before="10"/>
        <w:rPr>
          <w:b/>
          <w:sz w:val="25"/>
        </w:rPr>
      </w:pPr>
    </w:p>
    <w:p>
      <w:pPr>
        <w:pStyle w:val="BodyText"/>
        <w:spacing w:before="100"/>
        <w:ind w:left="2608"/>
        <w:rPr>
          <w:rFonts w:ascii="Tahoma"/>
        </w:rPr>
      </w:pPr>
      <w:r>
        <w:rPr>
          <w:rFonts w:ascii="Tahoma"/>
          <w:w w:val="115"/>
        </w:rPr>
        <w:t>2010-11 Committee of</w:t>
      </w:r>
      <w:r>
        <w:rPr>
          <w:rFonts w:ascii="Tahoma"/>
          <w:spacing w:val="-51"/>
          <w:w w:val="115"/>
        </w:rPr>
        <w:t> </w:t>
      </w:r>
      <w:r>
        <w:rPr>
          <w:rFonts w:ascii="Tahoma"/>
          <w:w w:val="115"/>
        </w:rPr>
        <w:t>Management</w:t>
      </w:r>
    </w:p>
    <w:p>
      <w:pPr>
        <w:pStyle w:val="BodyText"/>
        <w:rPr>
          <w:rFonts w:ascii="Tahoma"/>
          <w:sz w:val="20"/>
        </w:rPr>
      </w:pPr>
    </w:p>
    <w:p>
      <w:pPr>
        <w:pStyle w:val="BodyText"/>
        <w:spacing w:before="11"/>
        <w:rPr>
          <w:rFonts w:ascii="Tahoma"/>
          <w:sz w:val="29"/>
        </w:rPr>
      </w:pPr>
      <w:r>
        <w:rPr/>
        <w:pict>
          <v:group style="position:absolute;margin-left:108.577621pt;margin-top:20.038910pt;width:87.55pt;height:139.6pt;mso-position-horizontal-relative:page;mso-position-vertical-relative:paragraph;z-index:1120;mso-wrap-distance-left:0;mso-wrap-distance-right:0" coordorigin="2172,401" coordsize="1751,2792">
            <v:shape style="position:absolute;left:2171;top:401;width:1750;height:2789" type="#_x0000_t75" stroked="false">
              <v:imagedata r:id="rId16" o:title=""/>
            </v:shape>
            <v:line style="position:absolute" from="2173,3190" to="3922,3190" stroked="true" strokeweight=".3pt" strokecolor="#000000">
              <v:stroke dashstyle="solid"/>
            </v:line>
            <v:line style="position:absolute" from="2175,409" to="2175,3187" stroked="true" strokeweight=".23999pt" strokecolor="#000000">
              <v:stroke dashstyle="solid"/>
            </v:line>
            <v:line style="position:absolute" from="2173,405" to="3922,405" stroked="true" strokeweight=".4pt" strokecolor="#000000">
              <v:stroke dashstyle="solid"/>
            </v:line>
            <v:line style="position:absolute" from="3920,408" to="3920,3187" stroked="true" strokeweight=".23999pt" strokecolor="#000000">
              <v:stroke dashstyle="solid"/>
            </v:line>
            <w10:wrap type="topAndBottom"/>
          </v:group>
        </w:pict>
      </w:r>
      <w:r>
        <w:rPr/>
        <w:pict>
          <v:group style="position:absolute;margin-left:255.576324pt;margin-top:21.513094pt;width:88.65pt;height:126.1pt;mso-position-horizontal-relative:page;mso-position-vertical-relative:paragraph;z-index:1144;mso-wrap-distance-left:0;mso-wrap-distance-right:0" coordorigin="5112,430" coordsize="1773,2522">
            <v:shape style="position:absolute;left:5111;top:430;width:1772;height:2520" type="#_x0000_t75" stroked="false">
              <v:imagedata r:id="rId17" o:title=""/>
            </v:shape>
            <v:line style="position:absolute" from="5113,2950" to="6884,2950" stroked="true" strokeweight=".2pt" strokecolor="#000000">
              <v:stroke dashstyle="solid"/>
            </v:line>
            <v:line style="position:absolute" from="5115,436" to="5115,2948" stroked="true" strokeweight=".23999pt" strokecolor="#000000">
              <v:stroke dashstyle="solid"/>
            </v:line>
            <v:line style="position:absolute" from="5113,434" to="6884,434" stroked="true" strokeweight=".2pt" strokecolor="#000000">
              <v:stroke dashstyle="solid"/>
            </v:line>
            <v:line style="position:absolute" from="6881,437" to="6881,2947" stroked="true" strokeweight=".23999pt" strokecolor="#000000">
              <v:stroke dashstyle="solid"/>
            </v:line>
            <w10:wrap type="topAndBottom"/>
          </v:group>
        </w:pict>
      </w:r>
      <w:r>
        <w:rPr/>
        <w:pict>
          <v:group style="position:absolute;margin-left:398.616272pt;margin-top:24.513094pt;width:94.05pt;height:126.1pt;mso-position-horizontal-relative:page;mso-position-vertical-relative:paragraph;z-index:1168;mso-wrap-distance-left:0;mso-wrap-distance-right:0" coordorigin="7972,490" coordsize="1881,2522">
            <v:shape style="position:absolute;left:7972;top:490;width:1880;height:2520" type="#_x0000_t75" stroked="false">
              <v:imagedata r:id="rId18" o:title=""/>
            </v:shape>
            <v:line style="position:absolute" from="7973,3010" to="9852,3010" stroked="true" strokeweight=".2pt" strokecolor="#000000">
              <v:stroke dashstyle="solid"/>
            </v:line>
            <v:line style="position:absolute" from="7976,496" to="7976,3008" stroked="true" strokeweight=".23999pt" strokecolor="#000000">
              <v:stroke dashstyle="solid"/>
            </v:line>
            <v:line style="position:absolute" from="7973,494" to="9852,494" stroked="true" strokeweight=".2pt" strokecolor="#000000">
              <v:stroke dashstyle="solid"/>
            </v:line>
            <v:line style="position:absolute" from="9849,497" to="9849,3007" stroked="true" strokeweight=".359985pt" strokecolor="#000000">
              <v:stroke dashstyle="solid"/>
            </v:line>
            <w10:wrap type="topAndBottom"/>
          </v:group>
        </w:pict>
      </w:r>
    </w:p>
    <w:p>
      <w:pPr>
        <w:pStyle w:val="BodyText"/>
        <w:spacing w:before="10"/>
        <w:rPr>
          <w:rFonts w:ascii="Tahoma"/>
          <w:sz w:val="8"/>
        </w:rPr>
      </w:pPr>
    </w:p>
    <w:p>
      <w:pPr>
        <w:spacing w:after="0"/>
        <w:rPr>
          <w:rFonts w:ascii="Tahoma"/>
          <w:sz w:val="8"/>
        </w:rPr>
        <w:sectPr>
          <w:footerReference w:type="default" r:id="rId15"/>
          <w:pgSz w:w="11910" w:h="16840"/>
          <w:pgMar w:footer="1289" w:header="0" w:top="1580" w:bottom="1480" w:left="1160" w:right="1120"/>
          <w:pgNumType w:start="5"/>
        </w:sectPr>
      </w:pPr>
    </w:p>
    <w:p>
      <w:pPr>
        <w:pStyle w:val="BodyText"/>
        <w:spacing w:before="100"/>
        <w:ind w:left="1331" w:right="19" w:hanging="358"/>
        <w:rPr>
          <w:rFonts w:ascii="Tahoma"/>
        </w:rPr>
      </w:pPr>
      <w:r>
        <w:rPr>
          <w:rFonts w:ascii="Tahoma"/>
        </w:rPr>
        <w:t>Mary-Anne Bath President</w:t>
      </w:r>
    </w:p>
    <w:p>
      <w:pPr>
        <w:pStyle w:val="BodyText"/>
        <w:spacing w:before="100"/>
        <w:ind w:left="1022" w:right="-20" w:hanging="49"/>
        <w:rPr>
          <w:rFonts w:ascii="Tahoma"/>
        </w:rPr>
      </w:pPr>
      <w:r>
        <w:rPr/>
        <w:br w:type="column"/>
      </w:r>
      <w:r>
        <w:rPr>
          <w:rFonts w:ascii="Tahoma"/>
        </w:rPr>
        <w:t>Monica McGhie Vice President</w:t>
      </w:r>
    </w:p>
    <w:p>
      <w:pPr>
        <w:pStyle w:val="BodyText"/>
        <w:spacing w:before="100"/>
        <w:ind w:left="1468" w:right="793" w:hanging="495"/>
        <w:rPr>
          <w:rFonts w:ascii="Tahoma"/>
        </w:rPr>
      </w:pPr>
      <w:r>
        <w:rPr/>
        <w:br w:type="column"/>
      </w:r>
      <w:r>
        <w:rPr>
          <w:rFonts w:ascii="Tahoma"/>
        </w:rPr>
        <w:t>Sharon Vanderlaan Treasurer</w:t>
      </w:r>
    </w:p>
    <w:p>
      <w:pPr>
        <w:spacing w:after="0"/>
        <w:rPr>
          <w:rFonts w:ascii="Tahoma"/>
        </w:rPr>
        <w:sectPr>
          <w:type w:val="continuous"/>
          <w:pgSz w:w="11910" w:h="16840"/>
          <w:pgMar w:top="1580" w:bottom="280" w:left="1160" w:right="1120"/>
          <w:cols w:num="3" w:equalWidth="0">
            <w:col w:w="2711" w:space="525"/>
            <w:col w:w="2560" w:space="39"/>
            <w:col w:w="3795"/>
          </w:cols>
        </w:sectPr>
      </w:pPr>
    </w:p>
    <w:p>
      <w:pPr>
        <w:pStyle w:val="BodyText"/>
        <w:rPr>
          <w:rFonts w:ascii="Tahoma"/>
          <w:sz w:val="20"/>
        </w:rPr>
      </w:pPr>
    </w:p>
    <w:p>
      <w:pPr>
        <w:pStyle w:val="BodyText"/>
        <w:spacing w:before="11" w:after="1"/>
        <w:rPr>
          <w:rFonts w:ascii="Tahoma"/>
          <w:sz w:val="29"/>
        </w:rPr>
      </w:pPr>
    </w:p>
    <w:p>
      <w:pPr>
        <w:tabs>
          <w:tab w:pos="3949" w:val="left" w:leader="none"/>
          <w:tab w:pos="6813" w:val="left" w:leader="none"/>
        </w:tabs>
        <w:spacing w:line="240" w:lineRule="auto"/>
        <w:ind w:left="1012" w:right="0" w:firstLine="0"/>
        <w:rPr>
          <w:rFonts w:ascii="Tahoma"/>
          <w:sz w:val="20"/>
        </w:rPr>
      </w:pPr>
      <w:r>
        <w:rPr>
          <w:rFonts w:ascii="Tahoma"/>
          <w:sz w:val="20"/>
        </w:rPr>
        <w:pict>
          <v:group style="width:101.7pt;height:153.1pt;mso-position-horizontal-relative:char;mso-position-vertical-relative:line" coordorigin="0,0" coordsize="2034,3062">
            <v:shape style="position:absolute;left:0;top:0;width:2033;height:3060" type="#_x0000_t75" stroked="false">
              <v:imagedata r:id="rId19" o:title=""/>
            </v:shape>
            <v:line style="position:absolute" from="1,3052" to="2034,3052" stroked="true" strokeweight="1pt" strokecolor="#000000">
              <v:stroke dashstyle="solid"/>
            </v:line>
            <v:line style="position:absolute" from="12,22" to="12,3042" stroked="true" strokeweight="1.079956pt" strokecolor="#000000">
              <v:stroke dashstyle="solid"/>
            </v:line>
            <v:line style="position:absolute" from="1,12" to="2034,12" stroked="true" strokeweight="1pt" strokecolor="#000000">
              <v:stroke dashstyle="solid"/>
            </v:line>
            <v:line style="position:absolute" from="2024,21" to="2024,3042" stroked="true" strokeweight=".959961pt" strokecolor="#000000">
              <v:stroke dashstyle="solid"/>
            </v:line>
          </v:group>
        </w:pict>
      </w:r>
      <w:r>
        <w:rPr>
          <w:rFonts w:ascii="Tahoma"/>
          <w:sz w:val="20"/>
        </w:rPr>
      </w:r>
      <w:r>
        <w:rPr>
          <w:rFonts w:ascii="Tahoma"/>
          <w:sz w:val="20"/>
        </w:rPr>
        <w:tab/>
      </w:r>
      <w:r>
        <w:rPr>
          <w:rFonts w:ascii="Tahoma"/>
          <w:position w:val="6"/>
          <w:sz w:val="20"/>
        </w:rPr>
        <w:pict>
          <v:group style="width:99.65pt;height:150.1pt;mso-position-horizontal-relative:char;mso-position-vertical-relative:line" coordorigin="0,0" coordsize="1993,3002">
            <v:shape style="position:absolute;left:0;top:0;width:1992;height:3000" type="#_x0000_t75" stroked="false">
              <v:imagedata r:id="rId20" o:title=""/>
            </v:shape>
            <v:line style="position:absolute" from="1,2992" to="1993,2992" stroked="true" strokeweight="1pt" strokecolor="#000000">
              <v:stroke dashstyle="solid"/>
            </v:line>
            <v:line style="position:absolute" from="11,22" to="11,2982" stroked="true" strokeweight=".959961pt" strokecolor="#000000">
              <v:stroke dashstyle="solid"/>
            </v:line>
            <v:line style="position:absolute" from="1,12" to="1993,12" stroked="true" strokeweight="1pt" strokecolor="#000000">
              <v:stroke dashstyle="solid"/>
            </v:line>
            <v:line style="position:absolute" from="1982,21" to="1982,2982" stroked="true" strokeweight="1.079956pt" strokecolor="#000000">
              <v:stroke dashstyle="solid"/>
            </v:line>
          </v:group>
        </w:pict>
      </w:r>
      <w:r>
        <w:rPr>
          <w:rFonts w:ascii="Tahoma"/>
          <w:position w:val="6"/>
          <w:sz w:val="20"/>
        </w:rPr>
      </w:r>
      <w:r>
        <w:rPr>
          <w:rFonts w:ascii="Tahoma"/>
          <w:position w:val="6"/>
          <w:sz w:val="20"/>
        </w:rPr>
        <w:tab/>
      </w:r>
      <w:r>
        <w:rPr>
          <w:rFonts w:ascii="Tahoma"/>
          <w:position w:val="36"/>
          <w:sz w:val="20"/>
        </w:rPr>
        <w:pict>
          <v:group style="width:96.2pt;height:136.3pt;mso-position-horizontal-relative:char;mso-position-vertical-relative:line" coordorigin="0,0" coordsize="1924,2726">
            <v:shape style="position:absolute;left:0;top:0;width:1923;height:2724" type="#_x0000_t75" stroked="false">
              <v:imagedata r:id="rId21" o:title=""/>
            </v:shape>
            <v:line style="position:absolute" from="1,2724" to="1923,2724" stroked="true" strokeweight=".2pt" strokecolor="#000000">
              <v:stroke dashstyle="solid"/>
            </v:line>
            <v:line style="position:absolute" from="3,6" to="3,2722" stroked="true" strokeweight=".23999pt" strokecolor="#000000">
              <v:stroke dashstyle="solid"/>
            </v:line>
            <v:line style="position:absolute" from="1,4" to="1923,4" stroked="true" strokeweight=".2pt" strokecolor="#000000">
              <v:stroke dashstyle="solid"/>
            </v:line>
            <v:line style="position:absolute" from="1921,6" to="1921,2721" stroked="true" strokeweight=".23999pt" strokecolor="#000000">
              <v:stroke dashstyle="solid"/>
            </v:line>
          </v:group>
        </w:pict>
      </w:r>
      <w:r>
        <w:rPr>
          <w:rFonts w:ascii="Tahoma"/>
          <w:position w:val="36"/>
          <w:sz w:val="20"/>
        </w:rPr>
      </w:r>
    </w:p>
    <w:p>
      <w:pPr>
        <w:pStyle w:val="BodyText"/>
        <w:spacing w:before="8"/>
        <w:rPr>
          <w:rFonts w:ascii="Tahoma"/>
          <w:sz w:val="7"/>
        </w:rPr>
      </w:pPr>
    </w:p>
    <w:p>
      <w:pPr>
        <w:spacing w:after="0"/>
        <w:rPr>
          <w:rFonts w:ascii="Tahoma"/>
          <w:sz w:val="7"/>
        </w:rPr>
        <w:sectPr>
          <w:type w:val="continuous"/>
          <w:pgSz w:w="11910" w:h="16840"/>
          <w:pgMar w:top="1580" w:bottom="280" w:left="1160" w:right="1120"/>
        </w:sectPr>
      </w:pPr>
    </w:p>
    <w:p>
      <w:pPr>
        <w:pStyle w:val="BodyText"/>
        <w:spacing w:before="105"/>
        <w:ind w:left="1631" w:right="-20" w:hanging="200"/>
        <w:rPr>
          <w:rFonts w:ascii="Tahoma"/>
        </w:rPr>
      </w:pPr>
      <w:r>
        <w:rPr>
          <w:rFonts w:ascii="Tahoma"/>
        </w:rPr>
        <w:t>Greg Madson Secretary</w:t>
      </w:r>
    </w:p>
    <w:p>
      <w:pPr>
        <w:pStyle w:val="BodyText"/>
        <w:spacing w:before="105"/>
        <w:ind w:left="1208"/>
        <w:rPr>
          <w:rFonts w:ascii="Tahoma"/>
        </w:rPr>
      </w:pPr>
      <w:r>
        <w:rPr/>
        <w:br w:type="column"/>
      </w:r>
      <w:r>
        <w:rPr>
          <w:rFonts w:ascii="Tahoma"/>
        </w:rPr>
        <w:t>Trish Anderson</w:t>
      </w:r>
    </w:p>
    <w:p>
      <w:pPr>
        <w:pStyle w:val="BodyText"/>
        <w:spacing w:before="100"/>
        <w:ind w:left="1432"/>
        <w:rPr>
          <w:rFonts w:ascii="Tahoma"/>
        </w:rPr>
      </w:pPr>
      <w:r>
        <w:rPr/>
        <w:br w:type="column"/>
      </w:r>
      <w:r>
        <w:rPr>
          <w:rFonts w:ascii="Tahoma"/>
        </w:rPr>
        <w:t>Carme Elliot</w:t>
      </w:r>
    </w:p>
    <w:p>
      <w:pPr>
        <w:spacing w:after="0"/>
        <w:rPr>
          <w:rFonts w:ascii="Tahoma"/>
        </w:rPr>
        <w:sectPr>
          <w:type w:val="continuous"/>
          <w:pgSz w:w="11910" w:h="16840"/>
          <w:pgMar w:top="1580" w:bottom="280" w:left="1160" w:right="1120"/>
          <w:cols w:num="3" w:equalWidth="0">
            <w:col w:w="2827" w:space="40"/>
            <w:col w:w="2842" w:space="101"/>
            <w:col w:w="3820"/>
          </w:cols>
        </w:sectPr>
      </w:pPr>
    </w:p>
    <w:p>
      <w:pPr>
        <w:pStyle w:val="BodyText"/>
        <w:spacing w:before="9"/>
        <w:rPr>
          <w:rFonts w:ascii="Tahoma"/>
          <w:sz w:val="20"/>
        </w:rPr>
      </w:pPr>
    </w:p>
    <w:p>
      <w:pPr>
        <w:tabs>
          <w:tab w:pos="3692" w:val="left" w:leader="none"/>
          <w:tab w:pos="6534" w:val="left" w:leader="none"/>
        </w:tabs>
        <w:spacing w:line="240" w:lineRule="auto"/>
        <w:ind w:left="873" w:right="0" w:firstLine="0"/>
        <w:rPr>
          <w:rFonts w:ascii="Tahoma"/>
          <w:sz w:val="20"/>
        </w:rPr>
      </w:pPr>
      <w:r>
        <w:rPr>
          <w:rFonts w:ascii="Tahoma"/>
          <w:sz w:val="20"/>
        </w:rPr>
        <w:pict>
          <v:group style="width:105.5pt;height:146.050pt;mso-position-horizontal-relative:char;mso-position-vertical-relative:line" coordorigin="0,0" coordsize="2110,2921">
            <v:shape style="position:absolute;left:0;top:0;width:2110;height:2921" type="#_x0000_t75" stroked="false">
              <v:imagedata r:id="rId22" o:title=""/>
            </v:shape>
            <v:line style="position:absolute" from="0,2913" to="2110,2913" stroked="true" strokeweight=".7pt" strokecolor="#000000">
              <v:stroke dashstyle="solid"/>
            </v:line>
            <v:line style="position:absolute" from="7,14" to="7,2906" stroked="true" strokeweight=".719971pt" strokecolor="#000000">
              <v:stroke dashstyle="solid"/>
            </v:line>
            <v:line style="position:absolute" from="0,7" to="2110,7" stroked="true" strokeweight=".7pt" strokecolor="#000000">
              <v:stroke dashstyle="solid"/>
            </v:line>
            <v:line style="position:absolute" from="2102,15" to="2102,2906" stroked="true" strokeweight=".719971pt" strokecolor="#000000">
              <v:stroke dashstyle="solid"/>
            </v:line>
          </v:group>
        </w:pict>
      </w:r>
      <w:r>
        <w:rPr>
          <w:rFonts w:ascii="Tahoma"/>
          <w:sz w:val="20"/>
        </w:rPr>
      </w:r>
      <w:r>
        <w:rPr>
          <w:rFonts w:ascii="Tahoma"/>
          <w:sz w:val="20"/>
        </w:rPr>
        <w:tab/>
      </w:r>
      <w:r>
        <w:rPr>
          <w:rFonts w:ascii="Tahoma"/>
          <w:position w:val="10"/>
          <w:sz w:val="20"/>
        </w:rPr>
        <w:pict>
          <v:group style="width:120.55pt;height:141.4pt;mso-position-horizontal-relative:char;mso-position-vertical-relative:line" coordorigin="0,0" coordsize="2411,2828">
            <v:shape style="position:absolute;left:14;top:14;width:2381;height:2799" type="#_x0000_t75" stroked="false">
              <v:imagedata r:id="rId23" o:title=""/>
            </v:shape>
            <v:rect style="position:absolute;left:7;top:7;width:2396;height:2813" filled="false" stroked="true" strokeweight=".749969pt" strokecolor="#000000">
              <v:stroke dashstyle="solid"/>
            </v:rect>
          </v:group>
        </w:pict>
      </w:r>
      <w:r>
        <w:rPr>
          <w:rFonts w:ascii="Tahoma"/>
          <w:position w:val="10"/>
          <w:sz w:val="20"/>
        </w:rPr>
      </w:r>
      <w:r>
        <w:rPr>
          <w:rFonts w:ascii="Tahoma"/>
          <w:position w:val="10"/>
          <w:sz w:val="20"/>
        </w:rPr>
        <w:tab/>
      </w:r>
      <w:r>
        <w:rPr>
          <w:rFonts w:ascii="Tahoma"/>
          <w:position w:val="11"/>
          <w:sz w:val="20"/>
        </w:rPr>
        <w:pict>
          <v:group style="width:120.65pt;height:140.65pt;mso-position-horizontal-relative:char;mso-position-vertical-relative:line" coordorigin="0,0" coordsize="2413,2813">
            <v:shape style="position:absolute;left:0;top:0;width:2412;height:2813" type="#_x0000_t75" stroked="false">
              <v:imagedata r:id="rId24" o:title=""/>
            </v:shape>
            <v:line style="position:absolute" from="0,2803" to="2412,2803" stroked="true" strokeweight=".9pt" strokecolor="#000000">
              <v:stroke dashstyle="solid"/>
            </v:line>
            <v:line style="position:absolute" from="10,20" to="10,2794" stroked="true" strokeweight=".959961pt" strokecolor="#000000">
              <v:stroke dashstyle="solid"/>
            </v:line>
            <v:line style="position:absolute" from="0,10" to="2412,10" stroked="true" strokeweight="1pt" strokecolor="#000000">
              <v:stroke dashstyle="solid"/>
            </v:line>
            <v:line style="position:absolute" from="2402,19" to="2402,2794" stroked="true" strokeweight=".959961pt" strokecolor="#000000">
              <v:stroke dashstyle="solid"/>
            </v:line>
          </v:group>
        </w:pict>
      </w:r>
      <w:r>
        <w:rPr>
          <w:rFonts w:ascii="Tahoma"/>
          <w:position w:val="11"/>
          <w:sz w:val="20"/>
        </w:rPr>
      </w:r>
    </w:p>
    <w:p>
      <w:pPr>
        <w:pStyle w:val="BodyText"/>
        <w:spacing w:before="9"/>
        <w:rPr>
          <w:rFonts w:ascii="Tahoma"/>
          <w:sz w:val="5"/>
        </w:rPr>
      </w:pPr>
    </w:p>
    <w:p>
      <w:pPr>
        <w:spacing w:after="0"/>
        <w:rPr>
          <w:rFonts w:ascii="Tahoma"/>
          <w:sz w:val="5"/>
        </w:rPr>
        <w:sectPr>
          <w:type w:val="continuous"/>
          <w:pgSz w:w="11910" w:h="16840"/>
          <w:pgMar w:top="1580" w:bottom="280" w:left="1160" w:right="1120"/>
        </w:sectPr>
      </w:pPr>
    </w:p>
    <w:p>
      <w:pPr>
        <w:pStyle w:val="BodyText"/>
        <w:spacing w:before="48"/>
        <w:ind w:left="1279"/>
      </w:pPr>
      <w:r>
        <w:rPr/>
        <w:t>David Hides</w:t>
      </w:r>
    </w:p>
    <w:p>
      <w:pPr>
        <w:pStyle w:val="BodyText"/>
        <w:spacing w:before="33"/>
        <w:ind w:left="1222"/>
        <w:rPr>
          <w:rFonts w:ascii="Tahoma"/>
        </w:rPr>
      </w:pPr>
      <w:r>
        <w:rPr/>
        <w:br w:type="column"/>
      </w:r>
      <w:r>
        <w:rPr>
          <w:rFonts w:ascii="Tahoma"/>
        </w:rPr>
        <w:t>Samantha</w:t>
      </w:r>
      <w:r>
        <w:rPr>
          <w:rFonts w:ascii="Tahoma"/>
          <w:spacing w:val="-9"/>
        </w:rPr>
        <w:t> </w:t>
      </w:r>
      <w:r>
        <w:rPr>
          <w:rFonts w:ascii="Tahoma"/>
        </w:rPr>
        <w:t>Neylon</w:t>
      </w:r>
    </w:p>
    <w:p>
      <w:pPr>
        <w:pStyle w:val="BodyText"/>
        <w:spacing w:before="37"/>
        <w:ind w:left="608"/>
        <w:rPr>
          <w:rFonts w:ascii="Tahoma"/>
        </w:rPr>
      </w:pPr>
      <w:r>
        <w:rPr/>
        <w:br w:type="column"/>
      </w:r>
      <w:r>
        <w:rPr>
          <w:rFonts w:ascii="Tahoma"/>
        </w:rPr>
        <w:t>Leah Thomlinson-Clements</w:t>
      </w:r>
    </w:p>
    <w:p>
      <w:pPr>
        <w:spacing w:after="0"/>
        <w:rPr>
          <w:rFonts w:ascii="Tahoma"/>
        </w:rPr>
        <w:sectPr>
          <w:type w:val="continuous"/>
          <w:pgSz w:w="11910" w:h="16840"/>
          <w:pgMar w:top="1580" w:bottom="280" w:left="1160" w:right="1120"/>
          <w:cols w:num="3" w:equalWidth="0">
            <w:col w:w="2573" w:space="40"/>
            <w:col w:w="3083" w:space="39"/>
            <w:col w:w="3895"/>
          </w:cols>
        </w:sectPr>
      </w:pPr>
    </w:p>
    <w:p>
      <w:pPr>
        <w:pStyle w:val="BodyText"/>
        <w:spacing w:before="7"/>
        <w:rPr>
          <w:rFonts w:ascii="Tahoma"/>
        </w:rPr>
      </w:pPr>
    </w:p>
    <w:p>
      <w:pPr>
        <w:pStyle w:val="BodyText"/>
        <w:spacing w:before="100"/>
        <w:ind w:left="170"/>
        <w:jc w:val="both"/>
        <w:rPr>
          <w:rFonts w:ascii="Tahoma" w:hAnsi="Tahoma"/>
        </w:rPr>
      </w:pPr>
      <w:r>
        <w:rPr/>
        <w:pict>
          <v:group style="position:absolute;margin-left:441.859314pt;margin-top:14.005844pt;width:85.85pt;height:114.25pt;mso-position-horizontal-relative:page;mso-position-vertical-relative:paragraph;z-index:1336" coordorigin="8837,280" coordsize="1717,2285">
            <v:shape style="position:absolute;left:8837;top:280;width:1716;height:2285" type="#_x0000_t75" stroked="false">
              <v:imagedata r:id="rId25" o:title=""/>
            </v:shape>
            <v:line style="position:absolute" from="8837,2558" to="10553,2558" stroked="true" strokeweight=".7pt" strokecolor="#000000">
              <v:stroke dashstyle="solid"/>
            </v:line>
            <v:line style="position:absolute" from="8844,295" to="8844,2551" stroked="true" strokeweight=".719971pt" strokecolor="#000000">
              <v:stroke dashstyle="solid"/>
            </v:line>
            <v:line style="position:absolute" from="8837,288" to="10553,288" stroked="true" strokeweight=".7pt" strokecolor="#000000">
              <v:stroke dashstyle="solid"/>
            </v:line>
            <v:line style="position:absolute" from="10545,295" to="10545,2551" stroked="true" strokeweight=".839966pt" strokecolor="#000000">
              <v:stroke dashstyle="solid"/>
            </v:line>
            <w10:wrap type="none"/>
          </v:group>
        </w:pict>
      </w:r>
      <w:r>
        <w:rPr>
          <w:rFonts w:ascii="Tahoma" w:hAnsi="Tahoma"/>
          <w:w w:val="120"/>
        </w:rPr>
        <w:t>Executive Director’s Report</w:t>
      </w:r>
    </w:p>
    <w:p>
      <w:pPr>
        <w:pStyle w:val="BodyText"/>
        <w:spacing w:before="10"/>
        <w:rPr>
          <w:rFonts w:ascii="Tahoma"/>
          <w:sz w:val="23"/>
        </w:rPr>
      </w:pPr>
    </w:p>
    <w:p>
      <w:pPr>
        <w:pStyle w:val="BodyText"/>
        <w:ind w:left="170" w:right="2058"/>
        <w:jc w:val="both"/>
      </w:pPr>
      <w:r>
        <w:rPr/>
        <w:t>The financial year began with a full staff complement following Mark Georke’s return to the Executive Director role. Unfortunately, Mark was unable to continue beyond August 2010. The Committee of Management asked me to take on the role in an acting capacity and undertake a review of the organisation. I became Executive Director permanently in December 2010. I am pleased to have been given  the opportunity to contribute further to People With Disabilities(WA).  It has a rich history of self-determination and advocacy with a deep commitment to those with a lived experience of</w:t>
      </w:r>
      <w:r>
        <w:rPr>
          <w:spacing w:val="-5"/>
        </w:rPr>
        <w:t> </w:t>
      </w:r>
      <w:r>
        <w:rPr/>
        <w:t>disability.</w:t>
      </w:r>
    </w:p>
    <w:p>
      <w:pPr>
        <w:pStyle w:val="BodyText"/>
      </w:pPr>
    </w:p>
    <w:p>
      <w:pPr>
        <w:pStyle w:val="BodyText"/>
        <w:ind w:left="170" w:right="200"/>
        <w:jc w:val="both"/>
      </w:pPr>
      <w:r>
        <w:rPr/>
        <w:t>In the first part of the year the staff team returned from our temporary home in West Perth to Oasis Lotteries House in Nedlands. Everyone worked to minimise the disruption to our services. The refurbished offices and large meeting room were a great boost to morale. The working environment has improved particularly as the result of  the new equipment also generously funded by Lotteries</w:t>
      </w:r>
      <w:r>
        <w:rPr>
          <w:spacing w:val="-13"/>
        </w:rPr>
        <w:t> </w:t>
      </w:r>
      <w:r>
        <w:rPr/>
        <w:t>West.</w:t>
      </w:r>
    </w:p>
    <w:p>
      <w:pPr>
        <w:pStyle w:val="BodyText"/>
      </w:pPr>
    </w:p>
    <w:p>
      <w:pPr>
        <w:pStyle w:val="BodyText"/>
        <w:spacing w:line="276" w:lineRule="auto"/>
        <w:ind w:left="170" w:right="206"/>
        <w:jc w:val="both"/>
      </w:pPr>
      <w:r>
        <w:rPr/>
        <w:t>A large focus for everyone involved in the disability sector was the Productivity Commission’s Inquiry into Long term care and support. It was good that the Productivity Commission listened to what people with a lived experience of disability said and concluded what many of our members already knew. Service provision is unfair and fragmented. PWdWA is excited at the prospect of a fair go for every Australian. The work to make the Productivity Commission’s final report a reality will be long and detailed. This opportunity cannot be missed for people with disabilities to participate in shaping their future. The ‘Every Australian Counts’ campaign for a national disability insurance scheme (NDIS) has been well organised and inclusive. I commend the organisers and participants for their successes to</w:t>
      </w:r>
      <w:r>
        <w:rPr>
          <w:spacing w:val="-10"/>
        </w:rPr>
        <w:t> </w:t>
      </w:r>
      <w:r>
        <w:rPr/>
        <w:t>date.</w:t>
      </w:r>
    </w:p>
    <w:p>
      <w:pPr>
        <w:pStyle w:val="BodyText"/>
        <w:spacing w:line="276" w:lineRule="auto" w:before="201"/>
        <w:ind w:left="170" w:right="202"/>
        <w:jc w:val="both"/>
      </w:pPr>
      <w:r>
        <w:rPr/>
        <w:t>While there was a big focus on the NDIS our Individual and Disability First Stop Advocates, made sure that PWdWA was not distracted from the challenges that people with disabilities currently face each day. Advocates have continued to support people with the most pressing needs over the past 12 months. As ever Housing, Education, Health Services, support funding, and Centrelink were areas that were a challenge for many people. Western Australia has many excellent services that assist people with problems. I especially want to highlight the work of financial counselling services. They are a great asset and everyone at PWdWA values the real difference that they make.</w:t>
      </w:r>
    </w:p>
    <w:p>
      <w:pPr>
        <w:pStyle w:val="BodyText"/>
        <w:spacing w:line="276" w:lineRule="auto" w:before="199"/>
        <w:ind w:left="170" w:right="206"/>
        <w:jc w:val="both"/>
      </w:pPr>
      <w:r>
        <w:rPr/>
        <w:t>Three new people have joined us in recent times. Dr Amber Arazi was welcomed to Oasis House earlier this year. Amber has a background in research and brings a set of skills that has added to the team’s strengths.  She has a keen interest in Education  that is accessible for everyone. Amber has assisted us to explore accessible information and the developing technologies that can permit</w:t>
      </w:r>
      <w:r>
        <w:rPr>
          <w:spacing w:val="-6"/>
        </w:rPr>
        <w:t> </w:t>
      </w:r>
      <w:r>
        <w:rPr/>
        <w:t>this.</w:t>
      </w:r>
    </w:p>
    <w:p>
      <w:pPr>
        <w:spacing w:before="202"/>
        <w:ind w:left="0" w:right="206" w:firstLine="0"/>
        <w:jc w:val="right"/>
        <w:rPr>
          <w:sz w:val="16"/>
        </w:rPr>
      </w:pPr>
      <w:r>
        <w:rPr>
          <w:sz w:val="16"/>
        </w:rPr>
        <w:t>(continued page 7)</w:t>
      </w:r>
    </w:p>
    <w:p>
      <w:pPr>
        <w:spacing w:after="0"/>
        <w:jc w:val="right"/>
        <w:rPr>
          <w:sz w:val="16"/>
        </w:rPr>
        <w:sectPr>
          <w:pgSz w:w="11910" w:h="16840"/>
          <w:pgMar w:header="0" w:footer="1289" w:top="1580" w:bottom="1520" w:left="1160" w:right="1120"/>
        </w:sectPr>
      </w:pPr>
    </w:p>
    <w:p>
      <w:pPr>
        <w:pStyle w:val="BodyText"/>
        <w:spacing w:before="6"/>
        <w:rPr>
          <w:sz w:val="26"/>
        </w:rPr>
      </w:pPr>
    </w:p>
    <w:p>
      <w:pPr>
        <w:spacing w:before="74"/>
        <w:ind w:left="235" w:right="0" w:firstLine="0"/>
        <w:jc w:val="both"/>
        <w:rPr>
          <w:sz w:val="16"/>
        </w:rPr>
      </w:pPr>
      <w:r>
        <w:rPr>
          <w:sz w:val="16"/>
        </w:rPr>
        <w:t>(continued from page 6)</w:t>
      </w:r>
    </w:p>
    <w:p>
      <w:pPr>
        <w:pStyle w:val="BodyText"/>
        <w:spacing w:before="7"/>
        <w:rPr>
          <w:sz w:val="19"/>
        </w:rPr>
      </w:pPr>
    </w:p>
    <w:p>
      <w:pPr>
        <w:pStyle w:val="BodyText"/>
        <w:spacing w:line="276" w:lineRule="auto" w:before="1"/>
        <w:ind w:left="235" w:right="181"/>
        <w:jc w:val="both"/>
      </w:pPr>
      <w:r>
        <w:rPr/>
        <w:t>Carol Franklin joined the Individual Advocacy service. Her new colleagues have benefited from Carol’s considerable experience as a campaigner for the rights of people with disabilities, their families and carers. Deborah Sommerfeld also joined us to assist with administration.</w:t>
      </w:r>
    </w:p>
    <w:p>
      <w:pPr>
        <w:pStyle w:val="BodyText"/>
        <w:spacing w:before="201"/>
        <w:ind w:left="235" w:right="179"/>
        <w:jc w:val="both"/>
      </w:pPr>
      <w:r>
        <w:rPr/>
        <w:t>Many of you will know Senior Systemic Advocate, Kerrie Duff. Kerrie has served the organisation in various roles over several years. I am pleased to report that Kerrie left PWdWA in June to undertake studies in human rights. Everyone at PWdWA wishes her continued success.</w:t>
      </w:r>
    </w:p>
    <w:p>
      <w:pPr>
        <w:pStyle w:val="BodyText"/>
      </w:pPr>
    </w:p>
    <w:p>
      <w:pPr>
        <w:pStyle w:val="BodyText"/>
        <w:ind w:left="235" w:right="183"/>
        <w:jc w:val="both"/>
      </w:pPr>
      <w:r>
        <w:rPr/>
        <w:t>In early 2011 Stuart Jenkinson, PWdWA’s longest serving Advocate took some well-deserved long service leave. We hosted a student on placement while Stuart was on leave. Michiko was a great asset and made valuable contributions to our work.</w:t>
      </w:r>
    </w:p>
    <w:p>
      <w:pPr>
        <w:pStyle w:val="BodyText"/>
      </w:pPr>
    </w:p>
    <w:p>
      <w:pPr>
        <w:pStyle w:val="BodyText"/>
        <w:ind w:left="235" w:right="179"/>
        <w:jc w:val="both"/>
      </w:pPr>
      <w:r>
        <w:rPr/>
        <w:t>The role of the Committee of Management in providing good governance is central to the success of PWdWA. The fact that the majority of members have a lived experience of disability gives the organisation strength. There was great sadness earlier this year when Carme Elliot passed away. She greatly valued her role on the Committee of Management and will be dearly missed.</w:t>
      </w:r>
    </w:p>
    <w:p>
      <w:pPr>
        <w:pStyle w:val="BodyText"/>
      </w:pPr>
    </w:p>
    <w:p>
      <w:pPr>
        <w:pStyle w:val="BodyText"/>
        <w:spacing w:before="1"/>
        <w:ind w:left="235" w:right="179"/>
        <w:jc w:val="both"/>
      </w:pPr>
      <w:r>
        <w:rPr/>
        <w:t>The Committee of Management are preparing for President Mary-Anne Bath to retire from her important role after six years in October 2011. She has made an invaluable contribution and her achievement will be celebrated. Mary-Anne has helped our organisation forge strong relationships with other organisations and agencies.  PWdWA has benefited from the continuing membership of the Australian Federation of Disability Organisations (AFDO) and the cooperative working relationship we have with People with Disabilities Australia (PWDA). Our involvement in the Western Australian Disability Coalition continues to provide benefits for members and the people each represents. I was pleased to attend the opening of the Kimberley Advocacy Service(KAS) earlier this year in my role as a steering group member. I learned a lot during my visit to Broome from the great people that I met there. I have more insight into the challenges that people living and working in remote parts of the country experience. I am grateful that I was invited and thank the community representatives that made me so</w:t>
      </w:r>
      <w:r>
        <w:rPr>
          <w:spacing w:val="-4"/>
        </w:rPr>
        <w:t> </w:t>
      </w:r>
      <w:r>
        <w:rPr/>
        <w:t>welcome.</w:t>
      </w:r>
    </w:p>
    <w:p>
      <w:pPr>
        <w:pStyle w:val="BodyText"/>
        <w:spacing w:before="9"/>
        <w:rPr>
          <w:sz w:val="23"/>
        </w:rPr>
      </w:pPr>
    </w:p>
    <w:p>
      <w:pPr>
        <w:pStyle w:val="BodyText"/>
        <w:spacing w:line="276" w:lineRule="auto"/>
        <w:ind w:left="235" w:right="179"/>
        <w:jc w:val="both"/>
      </w:pPr>
      <w:r>
        <w:rPr/>
        <w:t>The last 12 months has been very exciting for the organisation. We had our DSC funded services evaluated and receive positive feedback. We were informed that we had benefitted from a substantial increase in funding from the State Government over the next two years. I thank all my colleagues for their great work and support over the past year.</w:t>
      </w:r>
    </w:p>
    <w:p>
      <w:pPr>
        <w:pStyle w:val="BodyText"/>
        <w:spacing w:before="10"/>
        <w:rPr>
          <w:sz w:val="35"/>
        </w:rPr>
      </w:pPr>
    </w:p>
    <w:p>
      <w:pPr>
        <w:pStyle w:val="BodyText"/>
        <w:spacing w:line="276" w:lineRule="auto"/>
        <w:ind w:left="235" w:right="7427"/>
      </w:pPr>
      <w:r>
        <w:rPr/>
        <w:t>Andrew Jefferson Executive Director</w:t>
      </w:r>
    </w:p>
    <w:p>
      <w:pPr>
        <w:spacing w:after="0" w:line="276" w:lineRule="auto"/>
        <w:sectPr>
          <w:footerReference w:type="default" r:id="rId26"/>
          <w:pgSz w:w="11910" w:h="16840"/>
          <w:pgMar w:footer="1094" w:header="0" w:top="1580" w:bottom="1280" w:left="1160" w:right="1120"/>
          <w:pgNumType w:start="7"/>
        </w:sectPr>
      </w:pPr>
    </w:p>
    <w:p>
      <w:pPr>
        <w:pStyle w:val="BodyText"/>
        <w:spacing w:before="10"/>
        <w:rPr>
          <w:sz w:val="25"/>
        </w:rPr>
      </w:pPr>
    </w:p>
    <w:p>
      <w:pPr>
        <w:pStyle w:val="BodyText"/>
        <w:spacing w:before="100"/>
        <w:ind w:left="244"/>
        <w:jc w:val="both"/>
        <w:rPr>
          <w:rFonts w:ascii="Tahoma"/>
        </w:rPr>
      </w:pPr>
      <w:r>
        <w:rPr>
          <w:rFonts w:ascii="Tahoma"/>
          <w:w w:val="120"/>
        </w:rPr>
        <w:t>Individual Advocacy</w:t>
      </w:r>
    </w:p>
    <w:p>
      <w:pPr>
        <w:pStyle w:val="BodyText"/>
        <w:spacing w:before="9"/>
        <w:rPr>
          <w:rFonts w:ascii="Tahoma"/>
          <w:sz w:val="23"/>
        </w:rPr>
      </w:pPr>
    </w:p>
    <w:p>
      <w:pPr>
        <w:pStyle w:val="BodyText"/>
        <w:ind w:left="244" w:right="250"/>
        <w:jc w:val="both"/>
      </w:pPr>
      <w:r>
        <w:rPr/>
        <w:t>In 2010-2011 the Individual Advocacy Team provided , one to one, issue based, non- legal advocacy for people with disabilities living in Western Australia in a broad range of issues that affect their lives. Our priority is to focus on people who are most vulnerable or at risk. </w:t>
      </w:r>
      <w:r>
        <w:rPr>
          <w:spacing w:val="1"/>
        </w:rPr>
        <w:t>We </w:t>
      </w:r>
      <w:r>
        <w:rPr/>
        <w:t>tailor our service according to each individual’s needs by developing an action plan that reflects what the person wants to achieve and how PWdWA can support them to achieve their goals. </w:t>
      </w:r>
      <w:r>
        <w:rPr>
          <w:spacing w:val="1"/>
        </w:rPr>
        <w:t>We </w:t>
      </w:r>
      <w:r>
        <w:rPr/>
        <w:t>recognise that each case is different, but the principal of ensuring that people with disabilities and their families are heard and their rights upheld is shared in all</w:t>
      </w:r>
      <w:r>
        <w:rPr>
          <w:spacing w:val="-3"/>
        </w:rPr>
        <w:t> </w:t>
      </w:r>
      <w:r>
        <w:rPr/>
        <w:t>cases.</w:t>
      </w:r>
    </w:p>
    <w:p>
      <w:pPr>
        <w:pStyle w:val="BodyText"/>
      </w:pPr>
    </w:p>
    <w:p>
      <w:pPr>
        <w:pStyle w:val="BodyText"/>
        <w:ind w:left="244" w:right="253"/>
        <w:jc w:val="both"/>
      </w:pPr>
      <w:r>
        <w:rPr/>
        <w:t>PWdWA’s Individual Advocacy programs are funded by both the Disability Services Commission (DSC), and the Department of Families, Housing, Community Services and Indigenous Affairs (FaHCSIA).</w:t>
      </w:r>
    </w:p>
    <w:p>
      <w:pPr>
        <w:pStyle w:val="BodyText"/>
      </w:pPr>
    </w:p>
    <w:p>
      <w:pPr>
        <w:pStyle w:val="BodyText"/>
        <w:ind w:left="244" w:right="248"/>
        <w:jc w:val="both"/>
      </w:pPr>
      <w:r>
        <w:rPr/>
        <w:t>Our services start when a person with a disability or someone who knows them approaches PWdWA because they are concerned about one or several issues that affect them. As part of the intake process PWdWA assess their eligibility for our services. When it is determined that Individual Advocacy from PWdWA is not required the caller is provided with information relevant to their issue or is referred to another agency that has the expertise in the area of concern. We also refer them to other advocacy services offered in their community, if required.</w:t>
      </w:r>
    </w:p>
    <w:p>
      <w:pPr>
        <w:pStyle w:val="BodyText"/>
      </w:pPr>
    </w:p>
    <w:p>
      <w:pPr>
        <w:pStyle w:val="BodyText"/>
        <w:spacing w:before="1"/>
        <w:ind w:left="244" w:right="249"/>
        <w:jc w:val="both"/>
      </w:pPr>
      <w:r>
        <w:rPr/>
        <w:t>Once it is decided that PWdWA is the most appropriate agency to provide services an individual advocate will be allocated to the case. The client in conjunction with the advocate will decide roles and responsibilities of all stakeholders involved and actions to be followed. There is no guarantee that all our clients will have the positive outcome desired. However it has been proven that with the support of their individual advocate they learn about the services available for them and develop self-advocacy skills that they can use in the</w:t>
      </w:r>
      <w:r>
        <w:rPr>
          <w:spacing w:val="-2"/>
        </w:rPr>
        <w:t> </w:t>
      </w:r>
      <w:r>
        <w:rPr/>
        <w:t>future.</w:t>
      </w:r>
    </w:p>
    <w:p>
      <w:pPr>
        <w:pStyle w:val="BodyText"/>
        <w:spacing w:before="11"/>
        <w:rPr>
          <w:sz w:val="23"/>
        </w:rPr>
      </w:pPr>
    </w:p>
    <w:p>
      <w:pPr>
        <w:pStyle w:val="BodyText"/>
        <w:ind w:left="244" w:right="251"/>
        <w:jc w:val="both"/>
      </w:pPr>
      <w:r>
        <w:rPr/>
        <w:t>Individual advocates always ensure that their clients have the opportunity to have their say. This can be achieved by assisting at meetings, researching information and facilitating the communication with people involved in their case. The service can extend to pre-meeting preparation, taking notes and ensuring that agreements are reached.</w:t>
      </w:r>
    </w:p>
    <w:p>
      <w:pPr>
        <w:pStyle w:val="BodyText"/>
      </w:pPr>
    </w:p>
    <w:p>
      <w:pPr>
        <w:pStyle w:val="BodyText"/>
        <w:ind w:left="244" w:right="249"/>
        <w:jc w:val="both"/>
      </w:pPr>
      <w:r>
        <w:rPr/>
        <w:t>We also provide information about different complaints processes available according to the issue faced by the person with a disability. If necessary we support them through the process and help them to put together the complaint. We encourage our clients to speak for themselves and the advocate can facilitate that process, if necessary.</w:t>
      </w:r>
    </w:p>
    <w:p>
      <w:pPr>
        <w:pStyle w:val="BodyText"/>
      </w:pPr>
    </w:p>
    <w:p>
      <w:pPr>
        <w:pStyle w:val="BodyText"/>
        <w:ind w:left="244" w:right="251"/>
        <w:jc w:val="both"/>
      </w:pPr>
      <w:r>
        <w:rPr/>
        <w:t>During the year, a successful outcome was achieved when an Individual Advocate supported the mother of child with multiple disabilities to secure funding to transport her child to a school that was not in their catchment area. This enables the child to attend the only school which meet his educational needs.</w:t>
      </w:r>
    </w:p>
    <w:p>
      <w:pPr>
        <w:spacing w:before="184"/>
        <w:ind w:left="0" w:right="251" w:firstLine="0"/>
        <w:jc w:val="right"/>
        <w:rPr>
          <w:sz w:val="16"/>
        </w:rPr>
      </w:pPr>
      <w:r>
        <w:rPr>
          <w:sz w:val="16"/>
        </w:rPr>
        <w:t>(continued page 9)</w:t>
      </w:r>
    </w:p>
    <w:p>
      <w:pPr>
        <w:spacing w:after="0"/>
        <w:jc w:val="right"/>
        <w:rPr>
          <w:sz w:val="16"/>
        </w:rPr>
        <w:sectPr>
          <w:pgSz w:w="11910" w:h="16840"/>
          <w:pgMar w:header="0" w:footer="1094" w:top="1580" w:bottom="1280" w:left="1160" w:right="1120"/>
        </w:sectPr>
      </w:pPr>
    </w:p>
    <w:p>
      <w:pPr>
        <w:pStyle w:val="BodyText"/>
        <w:rPr>
          <w:sz w:val="28"/>
        </w:rPr>
      </w:pPr>
    </w:p>
    <w:p>
      <w:pPr>
        <w:spacing w:before="74"/>
        <w:ind w:left="170" w:right="0" w:firstLine="0"/>
        <w:jc w:val="both"/>
        <w:rPr>
          <w:sz w:val="16"/>
        </w:rPr>
      </w:pPr>
      <w:r>
        <w:rPr>
          <w:sz w:val="16"/>
        </w:rPr>
        <w:t>(continued from page 8)</w:t>
      </w:r>
    </w:p>
    <w:p>
      <w:pPr>
        <w:pStyle w:val="BodyText"/>
        <w:spacing w:before="10"/>
        <w:rPr>
          <w:sz w:val="15"/>
        </w:rPr>
      </w:pPr>
    </w:p>
    <w:p>
      <w:pPr>
        <w:pStyle w:val="BodyText"/>
        <w:ind w:left="170" w:right="203"/>
        <w:jc w:val="both"/>
      </w:pPr>
      <w:r>
        <w:rPr/>
        <w:t>Parents of children with disabilities have been supported at school meetings to ensure that schools make reasonable adjustments and put supports in place to guarantee the development of the child’s fullest potential.</w:t>
      </w:r>
    </w:p>
    <w:p>
      <w:pPr>
        <w:pStyle w:val="BodyText"/>
      </w:pPr>
    </w:p>
    <w:p>
      <w:pPr>
        <w:pStyle w:val="BodyText"/>
        <w:ind w:left="170" w:right="205"/>
        <w:jc w:val="both"/>
      </w:pPr>
      <w:r>
        <w:rPr/>
        <w:t>A higher education student was supported to ensure that her study materials were given in alternative formats. These effective individualised measures maximised her academic performance.</w:t>
      </w:r>
    </w:p>
    <w:p>
      <w:pPr>
        <w:pStyle w:val="BodyText"/>
      </w:pPr>
    </w:p>
    <w:p>
      <w:pPr>
        <w:pStyle w:val="BodyText"/>
        <w:ind w:left="170" w:right="204"/>
        <w:jc w:val="both"/>
      </w:pPr>
      <w:r>
        <w:rPr/>
        <w:t>Individual Advocates through Accommodation Advocacy have assisted people to negotiate with their service provider. Their aim is to improve their living arrangements and to ensure their wellbeing without compromising their decision making capacity and rights. PWdWA has also ensured a smooth transition between service providers for people who were not satisfied with the supports in place and decided to move with a service provider who listens and respects their choices while maintaining high standards of personal care and support.</w:t>
      </w:r>
    </w:p>
    <w:p>
      <w:pPr>
        <w:pStyle w:val="BodyText"/>
      </w:pPr>
    </w:p>
    <w:p>
      <w:pPr>
        <w:pStyle w:val="BodyText"/>
        <w:spacing w:before="1"/>
        <w:ind w:left="170" w:right="203"/>
        <w:jc w:val="both"/>
      </w:pPr>
      <w:r>
        <w:rPr/>
        <w:t>An Individual Advocate accompanied a client to a meeting with her employer to ensure that they were taking into consideration her abilities and needs when doing her job. This has given the client the opportunity to have paid employment and inclusive participation in</w:t>
      </w:r>
      <w:r>
        <w:rPr>
          <w:spacing w:val="0"/>
        </w:rPr>
        <w:t> </w:t>
      </w:r>
      <w:r>
        <w:rPr/>
        <w:t>society.</w:t>
      </w:r>
    </w:p>
    <w:p>
      <w:pPr>
        <w:pStyle w:val="BodyText"/>
        <w:spacing w:before="11"/>
        <w:rPr>
          <w:sz w:val="23"/>
        </w:rPr>
      </w:pPr>
    </w:p>
    <w:p>
      <w:pPr>
        <w:pStyle w:val="BodyText"/>
        <w:ind w:left="170" w:right="205"/>
        <w:jc w:val="both"/>
      </w:pPr>
      <w:r>
        <w:rPr/>
        <w:t>People with disabilities were supported at hearings at the State Administrative Tribunal. The hearing could be a very stressful and intimidating situation for the person with a disability. Part of the individual advocate’s job is to ensure that they understand the process and have a say in the</w:t>
      </w:r>
      <w:r>
        <w:rPr>
          <w:spacing w:val="-5"/>
        </w:rPr>
        <w:t> </w:t>
      </w:r>
      <w:r>
        <w:rPr/>
        <w:t>hearing.</w:t>
      </w:r>
    </w:p>
    <w:p>
      <w:pPr>
        <w:pStyle w:val="BodyText"/>
      </w:pPr>
    </w:p>
    <w:p>
      <w:pPr>
        <w:pStyle w:val="BodyText"/>
        <w:ind w:left="170" w:right="204"/>
        <w:jc w:val="both"/>
      </w:pPr>
      <w:r>
        <w:rPr/>
        <w:t>The commitment showed by all Individual Advocates during 2010/2011 has translated into positive outcomes for people with disabilities in a wide range of issues. PWdWA will keep offering the advocates professional development opportunities that will strength our personalised services.</w:t>
      </w:r>
    </w:p>
    <w:p>
      <w:pPr>
        <w:spacing w:after="0"/>
        <w:jc w:val="both"/>
        <w:sectPr>
          <w:footerReference w:type="default" r:id="rId27"/>
          <w:pgSz w:w="11910" w:h="16840"/>
          <w:pgMar w:footer="1200" w:header="0" w:top="1580" w:bottom="1380" w:left="1160" w:right="1120"/>
          <w:pgNumType w:start="9"/>
        </w:sectPr>
      </w:pPr>
    </w:p>
    <w:p>
      <w:pPr>
        <w:pStyle w:val="BodyText"/>
        <w:spacing w:before="10"/>
        <w:rPr>
          <w:sz w:val="25"/>
        </w:rPr>
      </w:pPr>
    </w:p>
    <w:p>
      <w:pPr>
        <w:pStyle w:val="BodyText"/>
        <w:spacing w:before="100"/>
        <w:ind w:left="170"/>
        <w:jc w:val="both"/>
        <w:rPr>
          <w:rFonts w:ascii="Tahoma"/>
        </w:rPr>
      </w:pPr>
      <w:r>
        <w:rPr>
          <w:rFonts w:ascii="Tahoma"/>
          <w:w w:val="120"/>
        </w:rPr>
        <w:t>Peel Individual Advocacy</w:t>
      </w:r>
    </w:p>
    <w:p>
      <w:pPr>
        <w:pStyle w:val="BodyText"/>
        <w:spacing w:before="9"/>
        <w:rPr>
          <w:rFonts w:ascii="Tahoma"/>
          <w:sz w:val="22"/>
        </w:rPr>
      </w:pPr>
    </w:p>
    <w:p>
      <w:pPr>
        <w:pStyle w:val="BodyText"/>
        <w:ind w:left="170" w:right="204"/>
        <w:jc w:val="both"/>
      </w:pPr>
      <w:r>
        <w:rPr/>
        <w:t>Now in the fourth year of operation, the Individual Advocacy Service in Peel, is funded by the Federal Department of Families, Housing, Community Services, and  Indigenous Affairs (FaHCSIA) to provide and individual advocacy service to people with disability in the Peel Region. The service is currently funded for 22.5 hours per week; having been increased from 10.5 hours in early 2009. PWdWA extends it’s thanks to FaCHSIA for their continued support for advocacy for people with disabilities in the Peel</w:t>
      </w:r>
      <w:r>
        <w:rPr>
          <w:spacing w:val="-1"/>
        </w:rPr>
        <w:t> </w:t>
      </w:r>
      <w:r>
        <w:rPr/>
        <w:t>Region.</w:t>
      </w:r>
    </w:p>
    <w:p>
      <w:pPr>
        <w:pStyle w:val="BodyText"/>
      </w:pPr>
    </w:p>
    <w:p>
      <w:pPr>
        <w:pStyle w:val="BodyText"/>
        <w:ind w:left="170" w:right="204"/>
        <w:jc w:val="both"/>
      </w:pPr>
      <w:r>
        <w:rPr/>
        <w:t>The 2010/11 year saw individual advocacy support provided to clients involving working alongside people in activities that included; preparing for meetings, consideration of options, action planning, communication with Government Departments and other agencies, connection with appropriate services, and general support. It is important to note that, where possible, emphasis is placed on encouraging self-advocacy by providing information and encouragement that will assist the client with decision making and developing</w:t>
      </w:r>
      <w:r>
        <w:rPr>
          <w:spacing w:val="-4"/>
        </w:rPr>
        <w:t> </w:t>
      </w:r>
      <w:r>
        <w:rPr/>
        <w:t>self-confidence.</w:t>
      </w:r>
    </w:p>
    <w:p>
      <w:pPr>
        <w:pStyle w:val="BodyText"/>
      </w:pPr>
    </w:p>
    <w:p>
      <w:pPr>
        <w:pStyle w:val="BodyText"/>
        <w:ind w:left="170" w:right="204"/>
        <w:jc w:val="both"/>
      </w:pPr>
      <w:r>
        <w:rPr/>
        <w:t>There are a number of areas within which clients are provided with advocacy support; employment, finances, education, access to services, and transport to name a few. Interestingly in Peel however, it has been in the areas of housing and accommodation that has accounted for a significant number of cases. This coincides with other local agencies reporting increased housing pressures on lower income families and ongoing concerns about homelessness in the Region. There is certainly considerable demand for public housing in the Peel Region, reflecting the high cost of housing.</w:t>
      </w:r>
    </w:p>
    <w:p>
      <w:pPr>
        <w:pStyle w:val="BodyText"/>
        <w:spacing w:before="10"/>
        <w:rPr>
          <w:sz w:val="23"/>
        </w:rPr>
      </w:pPr>
    </w:p>
    <w:p>
      <w:pPr>
        <w:pStyle w:val="BodyText"/>
        <w:ind w:left="170" w:right="206"/>
        <w:jc w:val="both"/>
      </w:pPr>
      <w:r>
        <w:rPr/>
        <w:t>An important part of running a successful service in a regional area is developing good working relationships with other local community service organisations, Government Departments, and Local Government Authorities. By developing such positive, collaborative relationships with relevant agencies, there is a greater possibility of positive outcomes for clients. In keeping with this principle, the Peel Individual Advocate has attended meetings with a variety of agencies including; the Peel Network Service Providers Group, local Council staff, drug and alcohol workers, mental health professionals, Department of Housing, The Disability Services Commission, Midway Community Care, Peel Community Living, and Baptistcare. People with Disabilities (WA) has also been actively involved in the organisation of Peel Mental Health Week, and organised a well-attended forum in Mandurah on the proposed National Disability Insurance Scheme.</w:t>
      </w:r>
    </w:p>
    <w:p>
      <w:pPr>
        <w:pStyle w:val="BodyText"/>
      </w:pPr>
    </w:p>
    <w:p>
      <w:pPr>
        <w:pStyle w:val="BodyText"/>
        <w:ind w:left="170" w:right="203"/>
        <w:jc w:val="both"/>
      </w:pPr>
      <w:r>
        <w:rPr/>
        <w:t>After a long and extensive search, PWdWA have finally been able to secure office accommodation for the Individual Advocate for Peel. Prior to this, the advocate has been operating from a home office. The new office is located at 63 Ormsby Terrace within The Parents Place, a family resource centre, and is ideally located for access. This office will provide the platform for an expanding disability advocacy program in the Peel Region and PWdWA, and especially the Peel Individual Advocate are  very excited about the future of this service. </w:t>
      </w:r>
      <w:r>
        <w:rPr>
          <w:spacing w:val="1"/>
        </w:rPr>
        <w:t>We </w:t>
      </w:r>
      <w:r>
        <w:rPr/>
        <w:t>offer sincere thanks to the City of Mandurah for their cooperation and support in acquiring this office</w:t>
      </w:r>
      <w:r>
        <w:rPr>
          <w:spacing w:val="-10"/>
        </w:rPr>
        <w:t> </w:t>
      </w:r>
      <w:r>
        <w:rPr/>
        <w:t>space.</w:t>
      </w:r>
    </w:p>
    <w:p>
      <w:pPr>
        <w:spacing w:after="0"/>
        <w:jc w:val="both"/>
        <w:sectPr>
          <w:footerReference w:type="default" r:id="rId28"/>
          <w:pgSz w:w="11910" w:h="16840"/>
          <w:pgMar w:footer="1185" w:header="0" w:top="1580" w:bottom="1380" w:left="1160" w:right="1120"/>
          <w:pgNumType w:start="10"/>
        </w:sectPr>
      </w:pPr>
    </w:p>
    <w:p>
      <w:pPr>
        <w:pStyle w:val="BodyText"/>
        <w:spacing w:before="10"/>
        <w:rPr>
          <w:sz w:val="25"/>
        </w:rPr>
      </w:pPr>
    </w:p>
    <w:p>
      <w:pPr>
        <w:pStyle w:val="BodyText"/>
        <w:spacing w:before="100"/>
        <w:ind w:left="170"/>
        <w:jc w:val="both"/>
        <w:rPr>
          <w:rFonts w:ascii="Tahoma"/>
        </w:rPr>
      </w:pPr>
      <w:r>
        <w:rPr>
          <w:rFonts w:ascii="Tahoma"/>
          <w:w w:val="120"/>
        </w:rPr>
        <w:t>Disability First Stop</w:t>
      </w:r>
    </w:p>
    <w:p>
      <w:pPr>
        <w:pStyle w:val="BodyText"/>
        <w:spacing w:before="11"/>
        <w:rPr>
          <w:rFonts w:ascii="Tahoma"/>
          <w:sz w:val="23"/>
        </w:rPr>
      </w:pPr>
    </w:p>
    <w:p>
      <w:pPr>
        <w:pStyle w:val="BodyText"/>
        <w:ind w:left="170" w:right="207"/>
        <w:jc w:val="both"/>
        <w:rPr>
          <w:rFonts w:ascii="Tahoma"/>
        </w:rPr>
      </w:pPr>
      <w:r>
        <w:rPr>
          <w:rFonts w:ascii="Tahoma"/>
        </w:rPr>
        <w:t>Disability First Stop finally achieved a web presence on the Disability Services Commission website on 16 June 2011. Our thanks go to Richard Orr, Service Contract and Development Officer, for all his efforts in ensuring this long-awaited web-presence finally happened.</w:t>
      </w:r>
    </w:p>
    <w:p>
      <w:pPr>
        <w:pStyle w:val="BodyText"/>
        <w:spacing w:before="1"/>
        <w:rPr>
          <w:rFonts w:ascii="Tahoma"/>
        </w:rPr>
      </w:pPr>
    </w:p>
    <w:p>
      <w:pPr>
        <w:pStyle w:val="BodyText"/>
        <w:ind w:left="170" w:right="207"/>
        <w:jc w:val="both"/>
        <w:rPr>
          <w:rFonts w:ascii="Tahoma"/>
        </w:rPr>
      </w:pPr>
      <w:r>
        <w:rPr>
          <w:rFonts w:ascii="Tahoma"/>
        </w:rPr>
        <w:t>The four partner organisations for Disability First Stop include Ethnic Disability Advocacy Centre, Headwest, Kalparrin and People With disabilities WA. Each organisation caters for a specific client group with PWdWA targeting adults with a newly acquired disability. The four partner organisations meet quarterly to share information and resources to assist in the continuous improvement of the program.</w:t>
      </w:r>
    </w:p>
    <w:p>
      <w:pPr>
        <w:pStyle w:val="BodyText"/>
        <w:spacing w:before="11"/>
        <w:rPr>
          <w:rFonts w:ascii="Tahoma"/>
          <w:sz w:val="23"/>
        </w:rPr>
      </w:pPr>
    </w:p>
    <w:p>
      <w:pPr>
        <w:pStyle w:val="BodyText"/>
        <w:spacing w:before="1"/>
        <w:ind w:left="170" w:right="206"/>
        <w:jc w:val="both"/>
        <w:rPr>
          <w:rFonts w:ascii="Tahoma"/>
        </w:rPr>
      </w:pPr>
      <w:r>
        <w:rPr>
          <w:rFonts w:ascii="Tahoma"/>
        </w:rPr>
        <w:t>Disability First Stop continues to provide information and support service for people with disability and their families within the first 18 months of diagnosis or where people:</w:t>
      </w:r>
    </w:p>
    <w:p>
      <w:pPr>
        <w:pStyle w:val="BodyText"/>
        <w:rPr>
          <w:rFonts w:ascii="Tahoma"/>
        </w:rPr>
      </w:pPr>
    </w:p>
    <w:p>
      <w:pPr>
        <w:pStyle w:val="ListParagraph"/>
        <w:numPr>
          <w:ilvl w:val="0"/>
          <w:numId w:val="2"/>
        </w:numPr>
        <w:tabs>
          <w:tab w:pos="531" w:val="left" w:leader="none"/>
        </w:tabs>
        <w:spacing w:line="289" w:lineRule="exact" w:before="0" w:after="0"/>
        <w:ind w:left="530" w:right="0" w:hanging="360"/>
        <w:jc w:val="both"/>
        <w:rPr>
          <w:rFonts w:ascii="Symbol"/>
          <w:sz w:val="20"/>
        </w:rPr>
      </w:pPr>
      <w:r>
        <w:rPr>
          <w:rFonts w:ascii="Tahoma"/>
          <w:sz w:val="24"/>
        </w:rPr>
        <w:t>Are transitioning from hospital to community-based</w:t>
      </w:r>
      <w:r>
        <w:rPr>
          <w:rFonts w:ascii="Tahoma"/>
          <w:spacing w:val="-6"/>
          <w:sz w:val="24"/>
        </w:rPr>
        <w:t> </w:t>
      </w:r>
      <w:r>
        <w:rPr>
          <w:rFonts w:ascii="Tahoma"/>
          <w:sz w:val="24"/>
        </w:rPr>
        <w:t>services.</w:t>
      </w:r>
    </w:p>
    <w:p>
      <w:pPr>
        <w:pStyle w:val="ListParagraph"/>
        <w:numPr>
          <w:ilvl w:val="0"/>
          <w:numId w:val="2"/>
        </w:numPr>
        <w:tabs>
          <w:tab w:pos="531" w:val="left" w:leader="none"/>
        </w:tabs>
        <w:spacing w:line="289" w:lineRule="exact" w:before="0" w:after="0"/>
        <w:ind w:left="530" w:right="0" w:hanging="360"/>
        <w:jc w:val="both"/>
        <w:rPr>
          <w:rFonts w:ascii="Symbol"/>
          <w:sz w:val="20"/>
        </w:rPr>
      </w:pPr>
      <w:r>
        <w:rPr>
          <w:rFonts w:ascii="Tahoma"/>
          <w:sz w:val="24"/>
        </w:rPr>
        <w:t>Are newly arrived in Australia and diagnosed with disability in their country of</w:t>
      </w:r>
      <w:r>
        <w:rPr>
          <w:rFonts w:ascii="Tahoma"/>
          <w:spacing w:val="-36"/>
          <w:sz w:val="24"/>
        </w:rPr>
        <w:t> </w:t>
      </w:r>
      <w:r>
        <w:rPr>
          <w:rFonts w:ascii="Tahoma"/>
          <w:sz w:val="24"/>
        </w:rPr>
        <w:t>origin</w:t>
      </w:r>
    </w:p>
    <w:p>
      <w:pPr>
        <w:pStyle w:val="ListParagraph"/>
        <w:numPr>
          <w:ilvl w:val="0"/>
          <w:numId w:val="2"/>
        </w:numPr>
        <w:tabs>
          <w:tab w:pos="531" w:val="left" w:leader="none"/>
        </w:tabs>
        <w:spacing w:line="240" w:lineRule="auto" w:before="1" w:after="0"/>
        <w:ind w:left="530" w:right="0" w:hanging="360"/>
        <w:jc w:val="both"/>
        <w:rPr>
          <w:rFonts w:ascii="Symbol"/>
          <w:sz w:val="20"/>
        </w:rPr>
      </w:pPr>
      <w:r>
        <w:rPr>
          <w:rFonts w:ascii="Tahoma"/>
          <w:sz w:val="24"/>
        </w:rPr>
        <w:t>Have a deteriorating medical condition that requires disability support</w:t>
      </w:r>
      <w:r>
        <w:rPr>
          <w:rFonts w:ascii="Tahoma"/>
          <w:spacing w:val="-20"/>
          <w:sz w:val="24"/>
        </w:rPr>
        <w:t> </w:t>
      </w:r>
      <w:r>
        <w:rPr>
          <w:rFonts w:ascii="Tahoma"/>
          <w:sz w:val="24"/>
        </w:rPr>
        <w:t>services.</w:t>
      </w:r>
    </w:p>
    <w:p>
      <w:pPr>
        <w:pStyle w:val="ListParagraph"/>
        <w:numPr>
          <w:ilvl w:val="0"/>
          <w:numId w:val="2"/>
        </w:numPr>
        <w:tabs>
          <w:tab w:pos="530" w:val="left" w:leader="none"/>
          <w:tab w:pos="531" w:val="left" w:leader="none"/>
        </w:tabs>
        <w:spacing w:line="240" w:lineRule="auto" w:before="0" w:after="0"/>
        <w:ind w:left="530" w:right="206" w:hanging="360"/>
        <w:jc w:val="left"/>
        <w:rPr>
          <w:rFonts w:ascii="Symbol"/>
          <w:sz w:val="20"/>
        </w:rPr>
      </w:pPr>
      <w:r>
        <w:rPr>
          <w:rFonts w:ascii="Tahoma"/>
          <w:sz w:val="24"/>
        </w:rPr>
        <w:t>With a diagnosed disability receive a second diagnosis that requires assessment, information and support.</w:t>
      </w:r>
    </w:p>
    <w:p>
      <w:pPr>
        <w:pStyle w:val="BodyText"/>
        <w:rPr>
          <w:rFonts w:ascii="Tahoma"/>
        </w:rPr>
      </w:pPr>
    </w:p>
    <w:p>
      <w:pPr>
        <w:pStyle w:val="BodyText"/>
        <w:ind w:left="170" w:right="208"/>
        <w:jc w:val="both"/>
        <w:rPr>
          <w:rFonts w:ascii="Tahoma" w:hAnsi="Tahoma"/>
        </w:rPr>
      </w:pPr>
      <w:r>
        <w:rPr>
          <w:rFonts w:ascii="Tahoma" w:hAnsi="Tahoma"/>
        </w:rPr>
        <w:t>An example of a Disability First Stop Case Study follows: (identifying details have been changed to protect the person’s privacy)</w:t>
      </w:r>
    </w:p>
    <w:p>
      <w:pPr>
        <w:pStyle w:val="BodyText"/>
        <w:ind w:left="170" w:right="205"/>
        <w:jc w:val="both"/>
        <w:rPr>
          <w:rFonts w:ascii="Tahoma" w:hAnsi="Tahoma"/>
        </w:rPr>
      </w:pPr>
      <w:r>
        <w:rPr>
          <w:rFonts w:ascii="Tahoma" w:hAnsi="Tahoma"/>
        </w:rPr>
        <w:t>Fred’s elderly mother was referred to Disability First Stop by the Disability Services Commission which she had contacted as she was concerned for her son who had sustained a disability as a result of various medical conditions. The son had been a patient in a tertiary hospital for over four months and had transferred to a rehabilitation facility where he had been for around two months when his mother contacted Disability First</w:t>
      </w:r>
      <w:r>
        <w:rPr>
          <w:rFonts w:ascii="Tahoma" w:hAnsi="Tahoma"/>
          <w:spacing w:val="-4"/>
        </w:rPr>
        <w:t> </w:t>
      </w:r>
      <w:r>
        <w:rPr>
          <w:rFonts w:ascii="Tahoma" w:hAnsi="Tahoma"/>
        </w:rPr>
        <w:t>Stop.</w:t>
      </w:r>
    </w:p>
    <w:p>
      <w:pPr>
        <w:pStyle w:val="BodyText"/>
        <w:spacing w:before="11"/>
        <w:rPr>
          <w:rFonts w:ascii="Tahoma"/>
          <w:sz w:val="23"/>
        </w:rPr>
      </w:pPr>
    </w:p>
    <w:p>
      <w:pPr>
        <w:pStyle w:val="BodyText"/>
        <w:ind w:left="170" w:right="207"/>
        <w:jc w:val="both"/>
        <w:rPr>
          <w:rFonts w:ascii="Tahoma"/>
        </w:rPr>
      </w:pPr>
      <w:r>
        <w:rPr>
          <w:rFonts w:ascii="Tahoma"/>
        </w:rPr>
        <w:t>The Disability First Stop Advocate organised a visit to the rehabilitation facility and met with the son. The Disability First Stop Advocate assisted in developing an Action Plan and following through with the required actions. These included liaison with Allied Health Professionals at the rehabilitation facility; liaison with the previous employer in regard to an application for release of a Total and Permanent Injury Insurance Payment; contact with Centrelink to clarify eligibility criteria for the Disability Support Pension, researching current information as to options for trialling  independent living in accessible accommodation; assisting in the completion of paperwork and advocacy support to gain access to a Local Area Coordinator upon discharge into the</w:t>
      </w:r>
      <w:r>
        <w:rPr>
          <w:rFonts w:ascii="Tahoma"/>
          <w:spacing w:val="-40"/>
        </w:rPr>
        <w:t> </w:t>
      </w:r>
      <w:r>
        <w:rPr>
          <w:rFonts w:ascii="Tahoma"/>
        </w:rPr>
        <w:t>community.</w:t>
      </w:r>
    </w:p>
    <w:p>
      <w:pPr>
        <w:spacing w:after="0"/>
        <w:jc w:val="both"/>
        <w:rPr>
          <w:rFonts w:ascii="Tahoma"/>
        </w:rPr>
        <w:sectPr>
          <w:footerReference w:type="default" r:id="rId29"/>
          <w:pgSz w:w="11910" w:h="16840"/>
          <w:pgMar w:footer="1229" w:header="0" w:top="1580" w:bottom="1420" w:left="1160" w:right="1120"/>
          <w:pgNumType w:start="11"/>
        </w:sectPr>
      </w:pPr>
    </w:p>
    <w:p>
      <w:pPr>
        <w:pStyle w:val="BodyText"/>
        <w:spacing w:before="2"/>
        <w:rPr>
          <w:rFonts w:ascii="Times New Roman"/>
          <w:sz w:val="26"/>
        </w:rPr>
      </w:pPr>
    </w:p>
    <w:p>
      <w:pPr>
        <w:pStyle w:val="BodyText"/>
        <w:ind w:left="112"/>
        <w:rPr>
          <w:rFonts w:ascii="Times New Roman"/>
          <w:sz w:val="20"/>
        </w:rPr>
      </w:pPr>
      <w:r>
        <w:rPr>
          <w:rFonts w:ascii="Times New Roman"/>
          <w:sz w:val="20"/>
        </w:rPr>
        <w:drawing>
          <wp:inline distT="0" distB="0" distL="0" distR="0">
            <wp:extent cx="5938655" cy="3919537"/>
            <wp:effectExtent l="0" t="0" r="0" b="0"/>
            <wp:docPr id="3" name="image18.png" descr=""/>
            <wp:cNvGraphicFramePr>
              <a:graphicFrameLocks noChangeAspect="1"/>
            </wp:cNvGraphicFramePr>
            <a:graphic>
              <a:graphicData uri="http://schemas.openxmlformats.org/drawingml/2006/picture">
                <pic:pic>
                  <pic:nvPicPr>
                    <pic:cNvPr id="4" name="image18.png"/>
                    <pic:cNvPicPr/>
                  </pic:nvPicPr>
                  <pic:blipFill>
                    <a:blip r:embed="rId30" cstate="print"/>
                    <a:stretch>
                      <a:fillRect/>
                    </a:stretch>
                  </pic:blipFill>
                  <pic:spPr>
                    <a:xfrm>
                      <a:off x="0" y="0"/>
                      <a:ext cx="5938655" cy="391953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r>
        <w:rPr/>
        <w:pict>
          <v:group style="position:absolute;margin-left:78.393684pt;margin-top:10.316934pt;width:443.65pt;height:275pt;mso-position-horizontal-relative:page;mso-position-vertical-relative:paragraph;z-index:1384;mso-wrap-distance-left:0;mso-wrap-distance-right:0" coordorigin="1568,206" coordsize="8873,5500">
            <v:shape style="position:absolute;left:1567;top:206;width:8873;height:5500" coordorigin="1568,206" coordsize="8873,5500" path="m9291,5686l2720,5686,2737,5706,9274,5706,9291,5686xm9442,5666l2569,5666,2605,5686,9406,5686,9442,5666xm2619,5626l2408,5626,2475,5646,2499,5666,2801,5666,2753,5646,2636,5646,2619,5626xm9524,5646l9257,5646,9185,5666,9512,5666,9524,5646xm9610,5626l9392,5626,9375,5646,9562,5646,9610,5626xm2523,5606l2341,5606,2350,5626,2533,5626,2523,5606xm9668,5606l9488,5606,9478,5626,9653,5626,9668,5606xm2403,5586l2276,5586,2281,5606,2489,5606,2403,5586xm9756,5586l9598,5586,9521,5606,9677,5606,9756,5586xm2362,5566l2221,5566,2242,5586,2369,5586,2362,5566xm9788,5566l9648,5566,9639,5586,9783,5586,9788,5566xm2266,5546l2173,5546,2177,5566,2353,5566,2266,5546xm9838,5546l9730,5546,9672,5566,9831,5566,9838,5546xm2240,5526l2113,5526,2127,5546,2261,5546,2240,5526xm9888,5526l9768,5526,9764,5546,9881,5546,9888,5526xm2192,5506l2062,5506,2105,5526,2197,5526,2192,5506xm9977,5486l9864,5486,9857,5506,9819,5506,9812,5526,9915,5526,9977,5486xm2137,5486l2014,5486,2048,5506,2151,5506,2137,5486xm2086,5466l1993,5466,2012,5486,2129,5486,2086,5466xm10040,5446l9963,5446,9886,5486,9980,5486,10008,5466,10037,5466,10040,5446xm2062,5446l1964,5446,1978,5466,2065,5466,2062,5446xm2026,5426l1937,5426,1942,5446,2029,5446,2026,5426xm10071,5426l9989,5426,9965,5446,10068,5446,10071,5426xm1983,5406l1904,5406,1909,5426,1997,5426,1983,5406xm10104,5406l10020,5406,10018,5426,10102,5426,10104,5406xm1957,5386l1875,5386,1880,5406,1966,5406,1957,5386xm10133,5386l10052,5386,10049,5406,10128,5406,10133,5386xm1928,5366l1846,5366,1853,5386,1933,5386,1928,5366xm10157,5366l10083,5366,10078,5386,10150,5386,10157,5366xm1897,5346l1822,5346,1829,5366,1901,5366,1897,5346xm10193,5346l10112,5346,10109,5366,10184,5366,10193,5346xm1870,5326l1801,5326,1805,5346,1877,5346,1870,5326xm10212,5326l10138,5326,10133,5346,10198,5346,10212,5326xm1755,5226l1702,5226,1702,5246,1714,5246,1733,5266,1736,5266,1781,5326,1853,5326,1844,5306,1827,5306,1822,5286,1755,5226xm10251,5286l10188,5286,10176,5306,10172,5306,10160,5326,10217,5326,10251,5286xm10313,5226l10248,5226,10246,5246,10193,5286,10265,5286,10292,5246,10304,5246,10313,5226xm1743,5206l1685,5206,1690,5226,1753,5226,1743,5206xm10323,5206l10265,5206,10263,5226,10316,5226,10323,5206xm1731,5186l1673,5186,1676,5206,1731,5206,1731,5186xm10337,5186l10284,5186,10277,5206,10335,5206,10337,5186xm1714,5166l1659,5166,1659,5186,1714,5186,1714,5166xm10352,5166l10296,5166,10294,5186,10349,5186,10352,5166xm1700,5146l1647,5146,1647,5166,1702,5166,1700,5146xm10364,5146l10311,5146,10308,5166,10359,5166,10364,5146xm1688,5126l1635,5126,1635,5146,1690,5146,1688,5126xm10402,5066l10354,5066,10332,5126,10323,5126,10318,5146,10373,5146,10395,5086,10400,5086,10402,5066xm1676,5106l1623,5106,1623,5126,1676,5126,1676,5106xm1664,5086l1613,5086,1613,5106,1664,5106,1664,5086xm1654,5066l1606,5066,1606,5086,1654,5086,1654,5066xm1647,5046l1599,5046,1599,5066,1647,5066,1647,5046xm10438,1526l10392,1526,10392,1546,10395,1546,10392,4926,10388,4966,10378,5006,10366,5046,10364,5046,10361,5066,10407,5066,10421,5026,10428,4986,10431,4986,10438,4926,10440,1566,10438,1566,10438,1526xm1640,5026l1592,5026,1592,5046,1640,5046,1640,5026xm1633,5006l1587,5006,1587,5026,1633,5026,1633,5006xm1628,4986l1580,4986,1580,5006,1628,5006,1628,4986xm1623,4966l1577,4966,1577,4986,1623,4986,1623,4966xm1618,4946l1573,4946,1573,4966,1618,4966,1618,4946xm1647,1426l1597,1426,1592,1446,1589,1446,1575,1506,1570,1546,1568,1586,1568,4886,1570,4886,1570,4946,1616,4946,1616,4906,1613,4906,1613,1566,1621,1506,1623,1506,1630,1466,1642,1446,1647,1426xm10433,1506l10388,1506,10388,1526,10433,1526,10433,1506xm10431,1486l10385,1486,10385,1506,10431,1506,10431,1486xm10426,1466l10380,1466,10380,1486,10426,1486,10426,1466xm10419,1446l10373,1446,10373,1466,10419,1466,10419,1446xm10414,1426l10366,1426,10366,1446,10414,1446,10414,1426xm1652,1406l1606,1406,1601,1426,1649,1426,1652,1406xm10407,1406l10356,1406,10356,1426,10407,1426,10407,1406xm1683,1346l1633,1346,1613,1386,1611,1406,1654,1406,1673,1366,1681,1366,1683,1346xm10397,1386l10347,1386,10347,1406,10397,1406,10397,1386xm10388,1366l10337,1366,10337,1386,10388,1386,10388,1366xm10378,1346l10328,1346,10328,1366,10378,1366,10378,1346xm1697,1326l1647,1326,1642,1346,1695,1346,1697,1326xm10366,1326l10313,1326,10316,1346,10368,1346,10366,1326xm1712,1306l1654,1306,1649,1326,1707,1326,1712,1306xm10354,1306l10299,1306,10299,1326,10354,1326,10354,1306xm1726,1286l1669,1286,1664,1306,1719,1306,1726,1286xm10342,1286l10287,1286,10287,1306,10342,1306,10342,1286xm1748,1266l1683,1266,1681,1286,1738,1286,1748,1266xm10325,1266l10268,1266,10268,1286,10325,1286,10325,1266xm1777,1226l1729,1226,1709,1246,1700,1246,1697,1266,1750,1266,1774,1246,1777,1226xm10212,1146l10143,1146,10148,1166,10169,1166,10174,1186,10191,1186,10251,1246,10251,1266,10316,1266,10308,1246,10296,1246,10296,1226,10272,1206,10270,1206,10241,1186,10236,1166,10212,1146xm1841,1166l1784,1166,1731,1226,1786,1226,1822,1186,1827,1186,1841,1166xm1865,1146l1803,1146,1789,1166,1861,1166,1865,1146xm1892,1126l1820,1126,1808,1146,1887,1146,1892,1126xm10191,1126l10116,1126,10121,1146,10196,1146,10191,1126xm1918,1106l1841,1106,1837,1126,1913,1126,1918,1106xm10167,1106l10092,1106,10095,1126,10172,1126,10167,1106xm1949,1086l1873,1086,1868,1106,1947,1106,1949,1086xm10140,1086l10061,1086,10064,1106,10145,1106,10140,1086xm1981,1066l1897,1066,1894,1086,1971,1086,1981,1066xm10112,1066l10025,1066,10035,1086,10116,1086,10112,1066xm2012,1046l1925,1046,1923,1066,2009,1066,2012,1046xm10083,1046l9996,1046,10006,1066,10088,1066,10083,1046xm2062,1026l1961,1026,1952,1046,2029,1046,2062,1026xm9898,946l9776,946,9790,966,9826,966,9836,986,9881,986,9968,1046,10054,1046,10044,1026,10030,1026,10016,1006,9987,1006,9905,966,9898,946xm2093,1006l1993,1006,1990,1026,2065,1026,2093,1006xm2134,986l2043,986,2009,1006,2101,1006,2134,986xm2180,966l2069,966,2045,986,2173,986,2180,966xm2228,946l2115,946,2077,966,2221,966,2228,946xm2288,926l2153,926,2139,946,2259,946,2288,926xm9802,906l9658,906,9744,946,9862,946,9855,926,9807,926,9802,906xm2353,906l2209,906,2201,926,2309,926,2353,906xm2413,886l2261,886,2233,906,2403,906,2413,886xm9742,886l9598,886,9608,906,9771,906,9742,886xm2487,866l2317,866,2266,886,2420,886,2487,866xm9663,866l9524,866,9591,886,9699,886,9663,866xm2593,846l2391,846,2381,866,2578,866,2593,846xm9620,846l9418,846,9432,866,9629,866,9620,846xm2734,826l2485,826,2398,846,2696,846,2734,826xm9526,826l9279,826,9317,846,9612,846,9526,826xm2938,806l2552,806,2540,826,2890,826,2938,806xm9447,806l9080,806,9125,826,9483,826,9447,806xm3123,786l2696,786,2662,806,3128,806,3123,786xm9334,786l5173,786,5182,806,9363,806,9334,786xm3109,766l2895,766,2828,786,3113,786,3109,766xm9120,766l5081,766,5105,786,9188,786,9120,766xm3094,746l3039,746,3039,766,3099,766,3094,746xm5206,746l4993,746,5002,766,5242,766,5206,746xm3077,726l3020,726,3025,746,3077,746,3077,726xm5105,726l4892,726,4901,746,5129,746,5105,726xm3063,706l3005,706,3010,726,3063,726,3063,706xm5005,706l4789,706,4825,726,5029,726,5005,706xm3049,686l2991,686,2996,706,3049,706,3049,686xm4925,686l4712,686,4721,706,4949,706,4925,686xm3034,666l2977,666,2981,686,3034,686,3034,666xm4825,666l4611,666,4621,686,4849,686,4825,666xm3020,646l2962,646,2967,666,3020,666,3020,646xm4712,646l4508,646,4532,666,4748,666,4712,646xm3005,626l2948,626,2953,646,3005,646,3005,626xm4645,626l4431,626,4441,646,4669,646,4645,626xm2986,606l2931,606,2931,626,2991,626,2986,606xm4544,606l4330,606,4340,626,4568,626,4544,606xm2972,586l2917,586,2917,606,2977,606,2972,586xm4431,586l4227,586,4251,606,4467,606,4431,586xm2957,566l2905,566,2905,586,2962,586,2957,566xm4364,566l4150,566,4160,586,4388,586,4364,566xm2943,546l2885,546,2890,566,2948,566,2943,546xm4263,546l4047,546,4071,566,4287,566,4263,546xm2929,526l2871,526,2876,546,2933,546,2929,526xm4174,526l3946,526,3970,546,4184,546,4174,526xm2914,506l2857,506,2861,526,2919,526,2914,506xm4083,506l3869,506,3879,526,4107,526,4083,506xm2897,486l2842,486,2847,506,2897,506,2897,486xm3982,486l3766,486,3790,506,4006,506,3982,486xm2883,466l2828,466,2833,486,2883,486,2883,466xm3893,466l3665,466,3689,486,3903,486,3893,466xm2869,446l2813,446,2818,466,2869,466,2869,446xm3802,446l3586,446,3622,466,3826,466,3802,446xm2854,426l2797,426,2797,446,2854,446,2854,426xm3701,426l3485,426,3509,446,3725,446,3701,426xm2840,406l2782,406,2782,426,2840,426,2840,406xm3613,406l3385,406,3409,426,3622,426,3613,406xm2825,386l2768,386,2768,406,2825,406,2825,386xm3521,386l3305,386,3329,406,3545,406,3521,386xm2806,366l2753,366,2753,386,2811,386,2806,366xm3409,366l3205,366,3229,386,3445,386,3409,366xm2792,346l2739,346,2739,366,2797,366,2792,346xm3332,346l3092,346,3128,366,3341,366,3332,346xm2777,326l2725,326,2725,346,2782,346,2777,326xm3241,326l3025,326,3049,346,3265,346,3241,326xm2763,306l2705,306,2710,326,2768,326,2763,306xm3128,306l2924,306,2948,326,3152,326,3128,306xm2749,286l2691,286,2696,306,2753,306,2749,286xm3051,286l2835,286,2845,306,3061,306,3051,286xm2734,266l2677,266,2681,286,2739,286,2734,266xm2960,266l2744,266,2768,286,2984,286,2960,266xm2847,246l2662,246,2667,266,2871,266,2847,246xm2770,226l2648,226,2653,246,2780,246,2770,226xm2679,206l2633,206,2638,226,2703,226,2679,206xe" filled="true" fillcolor="#000000" stroked="false">
              <v:path arrowok="t"/>
              <v:fill type="solid"/>
            </v:shape>
            <v:shape style="position:absolute;left:1567;top:206;width:8873;height:5500" type="#_x0000_t202" filled="false" stroked="false">
              <v:textbox inset="0,0,0,0">
                <w:txbxContent>
                  <w:p>
                    <w:pPr>
                      <w:spacing w:line="240" w:lineRule="auto" w:before="0"/>
                      <w:rPr>
                        <w:rFonts w:ascii="Times New Roman"/>
                        <w:sz w:val="24"/>
                      </w:rPr>
                    </w:pPr>
                  </w:p>
                  <w:p>
                    <w:pPr>
                      <w:spacing w:line="240" w:lineRule="auto" w:before="0"/>
                      <w:rPr>
                        <w:rFonts w:ascii="Times New Roman"/>
                        <w:sz w:val="24"/>
                      </w:rPr>
                    </w:pPr>
                  </w:p>
                  <w:p>
                    <w:pPr>
                      <w:spacing w:line="240" w:lineRule="auto" w:before="2"/>
                      <w:rPr>
                        <w:rFonts w:ascii="Times New Roman"/>
                        <w:sz w:val="24"/>
                      </w:rPr>
                    </w:pPr>
                  </w:p>
                  <w:p>
                    <w:pPr>
                      <w:spacing w:before="0"/>
                      <w:ind w:left="424" w:right="418" w:firstLine="0"/>
                      <w:jc w:val="both"/>
                      <w:rPr>
                        <w:sz w:val="24"/>
                      </w:rPr>
                    </w:pPr>
                    <w:r>
                      <w:rPr>
                        <w:sz w:val="24"/>
                      </w:rPr>
                      <w:t>"At a time when every other door had been shut in my face in an attempt to right a very serious long standing wrong done to my family member with a disability, in desperation I turned to People with Disabilities.</w:t>
                    </w:r>
                  </w:p>
                  <w:p>
                    <w:pPr>
                      <w:spacing w:line="240" w:lineRule="auto" w:before="0"/>
                      <w:rPr>
                        <w:rFonts w:ascii="Times New Roman"/>
                        <w:sz w:val="20"/>
                      </w:rPr>
                    </w:pPr>
                  </w:p>
                  <w:p>
                    <w:pPr>
                      <w:spacing w:before="0"/>
                      <w:ind w:left="424" w:right="418" w:firstLine="0"/>
                      <w:jc w:val="both"/>
                      <w:rPr>
                        <w:sz w:val="24"/>
                      </w:rPr>
                    </w:pPr>
                    <w:r>
                      <w:rPr>
                        <w:sz w:val="24"/>
                      </w:rPr>
                      <w:t>Immediately my case was referred to an individual advocate and with her support, input and recording everything discussed with the agency concerned, the matter was righted.</w:t>
                    </w:r>
                  </w:p>
                  <w:p>
                    <w:pPr>
                      <w:spacing w:line="240" w:lineRule="auto" w:before="1"/>
                      <w:rPr>
                        <w:rFonts w:ascii="Times New Roman"/>
                        <w:sz w:val="20"/>
                      </w:rPr>
                    </w:pPr>
                  </w:p>
                  <w:p>
                    <w:pPr>
                      <w:spacing w:before="0"/>
                      <w:ind w:left="424" w:right="417" w:firstLine="0"/>
                      <w:jc w:val="both"/>
                      <w:rPr>
                        <w:sz w:val="24"/>
                      </w:rPr>
                    </w:pPr>
                    <w:r>
                      <w:rPr>
                        <w:sz w:val="24"/>
                      </w:rPr>
                      <w:t>Throughout the 35 days from initial contact with PWdWA until the resolution of everything, my advocate kept closely in touch with me, phoning regularly and visiting when appropriate. She was such a calming influence and very aware that the point of no return for me was very close.</w:t>
                    </w:r>
                  </w:p>
                  <w:p>
                    <w:pPr>
                      <w:spacing w:line="240" w:lineRule="auto" w:before="9"/>
                      <w:rPr>
                        <w:rFonts w:ascii="Times New Roman"/>
                        <w:sz w:val="19"/>
                      </w:rPr>
                    </w:pPr>
                  </w:p>
                  <w:p>
                    <w:pPr>
                      <w:spacing w:before="0"/>
                      <w:ind w:left="424" w:right="419" w:firstLine="0"/>
                      <w:jc w:val="both"/>
                      <w:rPr>
                        <w:sz w:val="24"/>
                      </w:rPr>
                    </w:pPr>
                    <w:r>
                      <w:rPr>
                        <w:sz w:val="24"/>
                      </w:rPr>
                      <w:t>I cannot speak highly enough of PWdWA and the service it provides. This is the third time they have supported me through very difficult situations with happy resolutions each</w:t>
                    </w:r>
                    <w:r>
                      <w:rPr>
                        <w:spacing w:val="-7"/>
                        <w:sz w:val="24"/>
                      </w:rPr>
                      <w:t> </w:t>
                    </w:r>
                    <w:r>
                      <w:rPr>
                        <w:sz w:val="24"/>
                      </w:rPr>
                      <w:t>time."</w:t>
                    </w:r>
                  </w:p>
                </w:txbxContent>
              </v:textbox>
              <w10:wrap type="none"/>
            </v:shape>
            <w10:wrap type="topAndBottom"/>
          </v:group>
        </w:pict>
      </w:r>
    </w:p>
    <w:p>
      <w:pPr>
        <w:spacing w:after="0"/>
        <w:rPr>
          <w:rFonts w:ascii="Times New Roman"/>
          <w:sz w:val="14"/>
        </w:rPr>
        <w:sectPr>
          <w:pgSz w:w="11910" w:h="16840"/>
          <w:pgMar w:header="0" w:footer="1229" w:top="1580" w:bottom="1480" w:left="1160" w:right="1120"/>
        </w:sectPr>
      </w:pPr>
    </w:p>
    <w:p>
      <w:pPr>
        <w:pStyle w:val="BodyText"/>
        <w:spacing w:before="2"/>
        <w:rPr>
          <w:rFonts w:ascii="Times New Roman"/>
          <w:sz w:val="29"/>
        </w:rPr>
      </w:pPr>
    </w:p>
    <w:p>
      <w:pPr>
        <w:pStyle w:val="Heading5"/>
        <w:spacing w:before="60"/>
      </w:pPr>
      <w:bookmarkStart w:name="_TOC_250002" w:id="2"/>
      <w:bookmarkEnd w:id="2"/>
      <w:r>
        <w:rPr/>
        <w:t>Information Advocacy</w:t>
      </w:r>
    </w:p>
    <w:p>
      <w:pPr>
        <w:pStyle w:val="BodyText"/>
        <w:rPr>
          <w:b/>
        </w:rPr>
      </w:pPr>
    </w:p>
    <w:p>
      <w:pPr>
        <w:pStyle w:val="BodyText"/>
        <w:ind w:left="170" w:right="204"/>
        <w:jc w:val="both"/>
      </w:pPr>
      <w:r>
        <w:rPr/>
        <w:t>During 2010-2011 the advocacy team at PWdWA dealt with in excess of 550 requests for information via telephone and email. This represents a significant increase from the previous year. Whilst a large number of information enquires were from individuals  with lived experience of disabilities, many enquires were received from people supporting people with disabilities in the community, both support workers and family members. Additionally a number of contacts were received from professionals such as Social Workers, Local Area Coordinators, Disability Service Providers and Local Government Officers.</w:t>
      </w:r>
    </w:p>
    <w:p>
      <w:pPr>
        <w:pStyle w:val="BodyText"/>
        <w:spacing w:before="9"/>
        <w:rPr>
          <w:sz w:val="26"/>
        </w:rPr>
      </w:pPr>
      <w:r>
        <w:rPr/>
        <w:drawing>
          <wp:anchor distT="0" distB="0" distL="0" distR="0" allowOverlap="1" layoutInCell="1" locked="0" behindDoc="0" simplePos="0" relativeHeight="1408">
            <wp:simplePos x="0" y="0"/>
            <wp:positionH relativeFrom="page">
              <wp:posOffset>959068</wp:posOffset>
            </wp:positionH>
            <wp:positionV relativeFrom="paragraph">
              <wp:posOffset>220956</wp:posOffset>
            </wp:positionV>
            <wp:extent cx="5630004" cy="4157472"/>
            <wp:effectExtent l="0" t="0" r="0" b="0"/>
            <wp:wrapTopAndBottom/>
            <wp:docPr id="5" name="image19.jpeg" descr=""/>
            <wp:cNvGraphicFramePr>
              <a:graphicFrameLocks noChangeAspect="1"/>
            </wp:cNvGraphicFramePr>
            <a:graphic>
              <a:graphicData uri="http://schemas.openxmlformats.org/drawingml/2006/picture">
                <pic:pic>
                  <pic:nvPicPr>
                    <pic:cNvPr id="6" name="image19.jpeg"/>
                    <pic:cNvPicPr/>
                  </pic:nvPicPr>
                  <pic:blipFill>
                    <a:blip r:embed="rId31" cstate="print"/>
                    <a:stretch>
                      <a:fillRect/>
                    </a:stretch>
                  </pic:blipFill>
                  <pic:spPr>
                    <a:xfrm>
                      <a:off x="0" y="0"/>
                      <a:ext cx="5630004" cy="4157472"/>
                    </a:xfrm>
                    <a:prstGeom prst="rect">
                      <a:avLst/>
                    </a:prstGeom>
                  </pic:spPr>
                </pic:pic>
              </a:graphicData>
            </a:graphic>
          </wp:anchor>
        </w:drawing>
      </w:r>
    </w:p>
    <w:p>
      <w:pPr>
        <w:pStyle w:val="BodyText"/>
        <w:spacing w:before="8"/>
        <w:rPr>
          <w:sz w:val="28"/>
        </w:rPr>
      </w:pPr>
    </w:p>
    <w:p>
      <w:pPr>
        <w:pStyle w:val="BodyText"/>
        <w:spacing w:before="1"/>
        <w:ind w:left="170" w:right="206"/>
        <w:jc w:val="both"/>
        <w:rPr>
          <w:rFonts w:ascii="Tahoma" w:hAnsi="Tahoma"/>
        </w:rPr>
      </w:pPr>
      <w:r>
        <w:rPr>
          <w:rFonts w:ascii="Tahoma" w:hAnsi="Tahoma"/>
        </w:rPr>
        <w:t>The PWdWA website </w:t>
      </w:r>
      <w:hyperlink r:id="rId32">
        <w:r>
          <w:rPr>
            <w:rFonts w:ascii="Tahoma" w:hAnsi="Tahoma"/>
            <w:color w:val="0065FF"/>
            <w:u w:val="single" w:color="0065FF"/>
          </w:rPr>
          <w:t>www.pwdwa.org</w:t>
        </w:r>
        <w:r>
          <w:rPr>
            <w:rFonts w:ascii="Tahoma" w:hAnsi="Tahoma"/>
            <w:color w:val="0065FF"/>
          </w:rPr>
          <w:t> </w:t>
        </w:r>
      </w:hyperlink>
      <w:r>
        <w:rPr>
          <w:rFonts w:ascii="Tahoma" w:hAnsi="Tahoma"/>
        </w:rPr>
        <w:t>continues to be a powerful and effective tool in disseminating information about PWdWA’s activities to the community. During the year there was on average over 3000 visits per month to the website. PWdWA is now utilising Facebook as another way of sharing information with individuals and the wider community. Combined with the PWdWA website, Facebook allows PWdWA to keep members and others in the community up to date with current activities of the organisation, current issues in the media relevant to people with disabilities as well as upcoming events important to people with disabilities. PWdWA has trialled providing information in audio format and is continually looking at ways to provide information that meets the needs of people with disabilities in an ever changing world.</w:t>
      </w:r>
    </w:p>
    <w:p>
      <w:pPr>
        <w:spacing w:after="0"/>
        <w:jc w:val="both"/>
        <w:rPr>
          <w:rFonts w:ascii="Tahoma" w:hAnsi="Tahoma"/>
        </w:rPr>
        <w:sectPr>
          <w:pgSz w:w="11910" w:h="16840"/>
          <w:pgMar w:header="0" w:footer="1229" w:top="1580" w:bottom="1460" w:left="1160" w:right="1120"/>
        </w:sectPr>
      </w:pPr>
    </w:p>
    <w:p>
      <w:pPr>
        <w:pStyle w:val="BodyText"/>
        <w:spacing w:before="9"/>
        <w:rPr>
          <w:rFonts w:ascii="Tahoma"/>
          <w:sz w:val="27"/>
        </w:rPr>
      </w:pPr>
    </w:p>
    <w:p>
      <w:pPr>
        <w:pStyle w:val="Heading5"/>
        <w:spacing w:before="60"/>
        <w:ind w:left="189"/>
        <w:jc w:val="both"/>
      </w:pPr>
      <w:bookmarkStart w:name="_TOC_250001" w:id="3"/>
      <w:bookmarkEnd w:id="3"/>
      <w:r>
        <w:rPr/>
        <w:t>Self Advocacy WA</w:t>
      </w:r>
    </w:p>
    <w:p>
      <w:pPr>
        <w:pStyle w:val="BodyText"/>
        <w:rPr>
          <w:b/>
        </w:rPr>
      </w:pPr>
    </w:p>
    <w:p>
      <w:pPr>
        <w:pStyle w:val="BodyText"/>
        <w:spacing w:before="1"/>
        <w:ind w:left="189" w:right="183" w:hanging="1"/>
        <w:jc w:val="both"/>
      </w:pPr>
      <w:r>
        <w:rPr/>
        <w:t>The Self Advocacy Western Australia group had an eventful year. There was a healthy mix of regular activities, some new people and interesting ideas. The monthly meetings were chaired by Karen Evans and involved a selection of members’ personal experiences with information sharing and discussion. PWdWA Executive Director Andrew Jefferson has attended some of the meetings. This has allowed for discussion and feedback about some of the current issues for people with a disability. The National Disability Insurance scheme, self-directed services, and employment are examples.</w:t>
      </w:r>
    </w:p>
    <w:p>
      <w:pPr>
        <w:pStyle w:val="BodyText"/>
      </w:pPr>
    </w:p>
    <w:p>
      <w:pPr>
        <w:pStyle w:val="BodyText"/>
        <w:ind w:left="189" w:right="184"/>
        <w:jc w:val="both"/>
      </w:pPr>
      <w:r>
        <w:rPr/>
        <w:t>As part of a conversation about what the members might like to do in the future one meeting was spent reflecting on previous achievements using a large collection of photographs from years past. This session stimulated many memories and lead the group to invite some of the people involved to their Xmas in July breakfast. This event was a great success and has put old friends back in contact with each other. Looking at the photographs has increased members appetite to re-engage with other self-advocacy groups across the</w:t>
      </w:r>
      <w:r>
        <w:rPr>
          <w:spacing w:val="-2"/>
        </w:rPr>
        <w:t> </w:t>
      </w:r>
      <w:r>
        <w:rPr/>
        <w:t>country.</w:t>
      </w:r>
    </w:p>
    <w:p>
      <w:pPr>
        <w:pStyle w:val="BodyText"/>
      </w:pPr>
    </w:p>
    <w:p>
      <w:pPr>
        <w:pStyle w:val="BodyText"/>
        <w:ind w:left="189" w:right="186"/>
        <w:jc w:val="both"/>
      </w:pPr>
      <w:r>
        <w:rPr/>
        <w:t>Establishing and maintaining regular communication between people with an intellectual disability or other learning difficulties who are usually on limited incomes is a great challenge. SAWA members were quick to invite Amber Arazi to their meeting following her appointment with PWdWA earlier this year. Amber has started to introduce members to some of the developing technologies that may assist people to communicate with others, to help people with limited speech or literacy skills or people who have limited community access. Group members too had experience of computers and courses and they have shared how these have assisted their understanding and improved their communication skills. PWdWA have committed to support the group to address the costs of equipment and applications when they have been identified for each</w:t>
      </w:r>
      <w:r>
        <w:rPr>
          <w:spacing w:val="-5"/>
        </w:rPr>
        <w:t> </w:t>
      </w:r>
      <w:r>
        <w:rPr/>
        <w:t>person.</w:t>
      </w:r>
    </w:p>
    <w:p>
      <w:pPr>
        <w:pStyle w:val="BodyText"/>
      </w:pPr>
    </w:p>
    <w:p>
      <w:pPr>
        <w:pStyle w:val="BodyText"/>
        <w:ind w:left="189" w:right="184"/>
        <w:jc w:val="both"/>
      </w:pPr>
      <w:r>
        <w:rPr/>
        <w:t>As part of the evaluation of PWdWA services funded by the Disability Services Commission SAWA invited an Independent Evaluator to attend one of their meetings earlier this year. The evaluator appreciated the opportunity and thanked members for allowing her to participate. Several members took the opportunity to speak on a one to one basis with evaluators over the course of the evaluation process.</w:t>
      </w:r>
    </w:p>
    <w:p>
      <w:pPr>
        <w:pStyle w:val="BodyText"/>
      </w:pPr>
    </w:p>
    <w:p>
      <w:pPr>
        <w:pStyle w:val="BodyText"/>
        <w:ind w:left="189" w:right="184"/>
        <w:jc w:val="both"/>
      </w:pPr>
      <w:r>
        <w:rPr/>
        <w:t>The SAWA group recognises that group members are getting older and that they need to plan for the future. Ill-health lead several members to be absent from meetings this year. The group was pleased to have a new member join this year and discussions about attracting younger people to the group continue. SAWA was effectively administered throughout the year through the commitment of Ian, Joyce and Bobby. Vice Chairperson Erica was invited to participate in a personal development course run by PWdWA for people aged under forty years. Erica’s great commitment to the course and important contributions were commented on by the facilitators. She reported that she had enjoyed participating and learned about many things. Erica was advised about the power of a smile. She has been smiling ever since.</w:t>
      </w:r>
    </w:p>
    <w:p>
      <w:pPr>
        <w:spacing w:after="0"/>
        <w:jc w:val="both"/>
        <w:sectPr>
          <w:pgSz w:w="11910" w:h="16840"/>
          <w:pgMar w:header="0" w:footer="1229" w:top="1580" w:bottom="1420" w:left="1160" w:right="1120"/>
        </w:sectPr>
      </w:pPr>
    </w:p>
    <w:p>
      <w:pPr>
        <w:pStyle w:val="BodyText"/>
        <w:spacing w:before="1"/>
        <w:rPr>
          <w:sz w:val="9"/>
        </w:rPr>
      </w:pPr>
    </w:p>
    <w:p>
      <w:pPr>
        <w:pStyle w:val="BodyText"/>
        <w:spacing w:before="101"/>
        <w:ind w:left="170"/>
        <w:rPr>
          <w:rFonts w:ascii="Tahoma"/>
        </w:rPr>
      </w:pPr>
      <w:r>
        <w:rPr>
          <w:rFonts w:ascii="Tahoma"/>
          <w:w w:val="115"/>
        </w:rPr>
        <w:t>Systemic Advocacy</w:t>
      </w:r>
    </w:p>
    <w:p>
      <w:pPr>
        <w:pStyle w:val="BodyText"/>
        <w:spacing w:before="239"/>
        <w:ind w:left="170" w:right="237"/>
        <w:jc w:val="both"/>
      </w:pPr>
      <w:r>
        <w:rPr/>
        <w:t>2010 - 2011 has been a busy year for systemic advocacy. </w:t>
      </w:r>
      <w:r>
        <w:rPr>
          <w:spacing w:val="3"/>
        </w:rPr>
        <w:t>We </w:t>
      </w:r>
      <w:r>
        <w:rPr/>
        <w:t>value the PWdWA members, colleagues and associates who have helped to bring about positive  changes for people with a lived experience of disability. Some work that has taken a  lot of people and organisations across Australia many years of  committed campaigning has finally been realised. It has been empowering to see different communities joining forces with a shared mission to improve universal access and services for all people with disabilities in</w:t>
      </w:r>
      <w:r>
        <w:rPr>
          <w:spacing w:val="-2"/>
        </w:rPr>
        <w:t> </w:t>
      </w:r>
      <w:r>
        <w:rPr/>
        <w:t>Australia.</w:t>
      </w:r>
    </w:p>
    <w:p>
      <w:pPr>
        <w:pStyle w:val="BodyText"/>
        <w:spacing w:before="7"/>
      </w:pPr>
    </w:p>
    <w:p>
      <w:pPr>
        <w:pStyle w:val="Heading5"/>
      </w:pPr>
      <w:r>
        <w:rPr/>
        <w:t>DISABILITY COALITION OF WA</w:t>
      </w:r>
    </w:p>
    <w:p>
      <w:pPr>
        <w:pStyle w:val="BodyText"/>
        <w:spacing w:before="113"/>
        <w:ind w:left="170" w:right="235"/>
        <w:jc w:val="both"/>
      </w:pPr>
      <w:r>
        <w:rPr/>
        <w:t>PWdWA has continued to work in collaboration with our disability sector partners: Advocacy South West; Carers WA; Committed About Securing Accommodation; Developmental Disability Council; Ethnic Disability Advocacy Centre; Headwest; National Disability Services WA; Ministerial Advisory Council on Disability; and WA Association for Mental Health. The Coalition gives organisations within the disability sector the opportunity to discuss matters affecting people with a lived experience of disability and speak with one strong voice on matters where there is a common agenda.</w:t>
      </w:r>
    </w:p>
    <w:p>
      <w:pPr>
        <w:pStyle w:val="BodyText"/>
        <w:spacing w:before="5"/>
        <w:rPr>
          <w:sz w:val="34"/>
        </w:rPr>
      </w:pPr>
    </w:p>
    <w:p>
      <w:pPr>
        <w:pStyle w:val="BodyText"/>
        <w:ind w:left="170" w:right="237"/>
        <w:jc w:val="both"/>
      </w:pPr>
      <w:r>
        <w:rPr/>
        <w:t>The Coalition focus has been to address key issues affecting the lives of people with disabilities in Western Australia. These include: the Productivity Commission’s inquiry into long term care and support; self-directed services; services for people experiencing both an intellectual disability and a mental health condition, and health services.</w:t>
      </w:r>
    </w:p>
    <w:p>
      <w:pPr>
        <w:pStyle w:val="Heading5"/>
        <w:spacing w:before="207"/>
      </w:pPr>
      <w:r>
        <w:rPr/>
        <w:t>CONSULTATION</w:t>
      </w:r>
    </w:p>
    <w:p>
      <w:pPr>
        <w:pStyle w:val="BodyText"/>
        <w:spacing w:before="112"/>
        <w:ind w:left="170" w:right="484"/>
        <w:jc w:val="both"/>
      </w:pPr>
      <w:r>
        <w:rPr/>
        <w:t>In addition to our work with our Coalition partners, PWdWA members and staff have contributed to a number of other committees, reference groups and forums this year. These include:</w:t>
      </w:r>
    </w:p>
    <w:p>
      <w:pPr>
        <w:pStyle w:val="ListParagraph"/>
        <w:numPr>
          <w:ilvl w:val="0"/>
          <w:numId w:val="2"/>
        </w:numPr>
        <w:tabs>
          <w:tab w:pos="531" w:val="left" w:leader="none"/>
        </w:tabs>
        <w:spacing w:line="392" w:lineRule="exact" w:before="122" w:after="0"/>
        <w:ind w:left="530" w:right="0" w:hanging="360"/>
        <w:jc w:val="both"/>
        <w:rPr>
          <w:rFonts w:ascii="Symbol"/>
          <w:sz w:val="32"/>
        </w:rPr>
      </w:pPr>
      <w:r>
        <w:rPr>
          <w:sz w:val="24"/>
        </w:rPr>
        <w:t>Accessible Public Transport Standards</w:t>
      </w:r>
      <w:r>
        <w:rPr>
          <w:spacing w:val="-2"/>
          <w:sz w:val="24"/>
        </w:rPr>
        <w:t> </w:t>
      </w:r>
      <w:r>
        <w:rPr>
          <w:sz w:val="24"/>
        </w:rPr>
        <w:t>Review</w:t>
      </w:r>
    </w:p>
    <w:p>
      <w:pPr>
        <w:pStyle w:val="ListParagraph"/>
        <w:numPr>
          <w:ilvl w:val="0"/>
          <w:numId w:val="2"/>
        </w:numPr>
        <w:tabs>
          <w:tab w:pos="531" w:val="left" w:leader="none"/>
        </w:tabs>
        <w:spacing w:line="391" w:lineRule="exact" w:before="0" w:after="0"/>
        <w:ind w:left="530" w:right="0" w:hanging="360"/>
        <w:jc w:val="both"/>
        <w:rPr>
          <w:rFonts w:ascii="Symbol"/>
          <w:sz w:val="32"/>
        </w:rPr>
      </w:pPr>
      <w:r>
        <w:rPr>
          <w:sz w:val="24"/>
        </w:rPr>
        <w:t>Australian Federation of Disability</w:t>
      </w:r>
      <w:r>
        <w:rPr>
          <w:spacing w:val="-4"/>
          <w:sz w:val="24"/>
        </w:rPr>
        <w:t> </w:t>
      </w:r>
      <w:r>
        <w:rPr>
          <w:sz w:val="24"/>
        </w:rPr>
        <w:t>Organisations</w:t>
      </w:r>
    </w:p>
    <w:p>
      <w:pPr>
        <w:pStyle w:val="ListParagraph"/>
        <w:numPr>
          <w:ilvl w:val="0"/>
          <w:numId w:val="2"/>
        </w:numPr>
        <w:tabs>
          <w:tab w:pos="531" w:val="left" w:leader="none"/>
        </w:tabs>
        <w:spacing w:line="392" w:lineRule="exact" w:before="0" w:after="0"/>
        <w:ind w:left="530" w:right="0" w:hanging="360"/>
        <w:jc w:val="both"/>
        <w:rPr>
          <w:rFonts w:ascii="Symbol"/>
          <w:sz w:val="32"/>
        </w:rPr>
      </w:pPr>
      <w:r>
        <w:rPr>
          <w:sz w:val="24"/>
        </w:rPr>
        <w:t>Australian Network for Universal Housing</w:t>
      </w:r>
      <w:r>
        <w:rPr>
          <w:spacing w:val="-4"/>
          <w:sz w:val="24"/>
        </w:rPr>
        <w:t> </w:t>
      </w:r>
      <w:r>
        <w:rPr>
          <w:sz w:val="24"/>
        </w:rPr>
        <w:t>Design</w:t>
      </w:r>
    </w:p>
    <w:p>
      <w:pPr>
        <w:pStyle w:val="ListParagraph"/>
        <w:numPr>
          <w:ilvl w:val="0"/>
          <w:numId w:val="2"/>
        </w:numPr>
        <w:tabs>
          <w:tab w:pos="531" w:val="left" w:leader="none"/>
        </w:tabs>
        <w:spacing w:line="392" w:lineRule="exact" w:before="2" w:after="0"/>
        <w:ind w:left="530" w:right="0" w:hanging="360"/>
        <w:jc w:val="both"/>
        <w:rPr>
          <w:rFonts w:ascii="Symbol"/>
          <w:sz w:val="32"/>
        </w:rPr>
      </w:pPr>
      <w:r>
        <w:rPr>
          <w:sz w:val="24"/>
        </w:rPr>
        <w:t>CaLD and Disability interagency</w:t>
      </w:r>
      <w:r>
        <w:rPr>
          <w:spacing w:val="-4"/>
          <w:sz w:val="24"/>
        </w:rPr>
        <w:t> </w:t>
      </w:r>
      <w:r>
        <w:rPr>
          <w:sz w:val="24"/>
        </w:rPr>
        <w:t>network</w:t>
      </w:r>
    </w:p>
    <w:p>
      <w:pPr>
        <w:pStyle w:val="ListParagraph"/>
        <w:numPr>
          <w:ilvl w:val="0"/>
          <w:numId w:val="2"/>
        </w:numPr>
        <w:tabs>
          <w:tab w:pos="531" w:val="left" w:leader="none"/>
        </w:tabs>
        <w:spacing w:line="392" w:lineRule="exact" w:before="0" w:after="0"/>
        <w:ind w:left="530" w:right="0" w:hanging="360"/>
        <w:jc w:val="both"/>
        <w:rPr>
          <w:rFonts w:ascii="Symbol"/>
          <w:sz w:val="32"/>
        </w:rPr>
      </w:pPr>
      <w:r>
        <w:rPr>
          <w:sz w:val="24"/>
        </w:rPr>
        <w:t>Clinical Senate of</w:t>
      </w:r>
      <w:r>
        <w:rPr>
          <w:spacing w:val="-6"/>
          <w:sz w:val="24"/>
        </w:rPr>
        <w:t> </w:t>
      </w:r>
      <w:r>
        <w:rPr>
          <w:spacing w:val="3"/>
          <w:sz w:val="24"/>
        </w:rPr>
        <w:t>WA</w:t>
      </w:r>
    </w:p>
    <w:p>
      <w:pPr>
        <w:pStyle w:val="ListParagraph"/>
        <w:numPr>
          <w:ilvl w:val="0"/>
          <w:numId w:val="2"/>
        </w:numPr>
        <w:tabs>
          <w:tab w:pos="531" w:val="left" w:leader="none"/>
        </w:tabs>
        <w:spacing w:line="392" w:lineRule="exact" w:before="1" w:after="0"/>
        <w:ind w:left="530" w:right="0" w:hanging="360"/>
        <w:jc w:val="both"/>
        <w:rPr>
          <w:rFonts w:ascii="Symbol"/>
          <w:sz w:val="32"/>
        </w:rPr>
      </w:pPr>
      <w:r>
        <w:rPr>
          <w:sz w:val="24"/>
        </w:rPr>
        <w:t>Education Forum: Parents as</w:t>
      </w:r>
      <w:r>
        <w:rPr>
          <w:spacing w:val="-1"/>
          <w:sz w:val="24"/>
        </w:rPr>
        <w:t> </w:t>
      </w:r>
      <w:r>
        <w:rPr>
          <w:sz w:val="24"/>
        </w:rPr>
        <w:t>Partners</w:t>
      </w:r>
    </w:p>
    <w:p>
      <w:pPr>
        <w:pStyle w:val="ListParagraph"/>
        <w:numPr>
          <w:ilvl w:val="0"/>
          <w:numId w:val="2"/>
        </w:numPr>
        <w:tabs>
          <w:tab w:pos="531" w:val="left" w:leader="none"/>
        </w:tabs>
        <w:spacing w:line="391" w:lineRule="exact" w:before="0" w:after="0"/>
        <w:ind w:left="530" w:right="0" w:hanging="360"/>
        <w:jc w:val="both"/>
        <w:rPr>
          <w:rFonts w:ascii="Symbol"/>
          <w:sz w:val="32"/>
        </w:rPr>
      </w:pPr>
      <w:r>
        <w:rPr>
          <w:sz w:val="24"/>
        </w:rPr>
        <w:t>Health Review</w:t>
      </w:r>
      <w:r>
        <w:rPr>
          <w:spacing w:val="-3"/>
          <w:sz w:val="24"/>
        </w:rPr>
        <w:t> </w:t>
      </w:r>
      <w:r>
        <w:rPr>
          <w:sz w:val="24"/>
        </w:rPr>
        <w:t>Inform</w:t>
      </w:r>
    </w:p>
    <w:p>
      <w:pPr>
        <w:pStyle w:val="ListParagraph"/>
        <w:numPr>
          <w:ilvl w:val="0"/>
          <w:numId w:val="2"/>
        </w:numPr>
        <w:tabs>
          <w:tab w:pos="531" w:val="left" w:leader="none"/>
        </w:tabs>
        <w:spacing w:line="392" w:lineRule="exact" w:before="0" w:after="0"/>
        <w:ind w:left="530" w:right="0" w:hanging="360"/>
        <w:jc w:val="both"/>
        <w:rPr>
          <w:rFonts w:ascii="Symbol"/>
          <w:sz w:val="32"/>
        </w:rPr>
      </w:pPr>
      <w:r>
        <w:rPr>
          <w:sz w:val="24"/>
        </w:rPr>
        <w:t>Housing Advisory</w:t>
      </w:r>
      <w:r>
        <w:rPr>
          <w:spacing w:val="-4"/>
          <w:sz w:val="24"/>
        </w:rPr>
        <w:t> </w:t>
      </w:r>
      <w:r>
        <w:rPr>
          <w:sz w:val="24"/>
        </w:rPr>
        <w:t>Roundtable</w:t>
      </w:r>
    </w:p>
    <w:p>
      <w:pPr>
        <w:pStyle w:val="ListParagraph"/>
        <w:numPr>
          <w:ilvl w:val="0"/>
          <w:numId w:val="2"/>
        </w:numPr>
        <w:tabs>
          <w:tab w:pos="531" w:val="left" w:leader="none"/>
        </w:tabs>
        <w:spacing w:line="392" w:lineRule="exact" w:before="2" w:after="0"/>
        <w:ind w:left="530" w:right="0" w:hanging="360"/>
        <w:jc w:val="both"/>
        <w:rPr>
          <w:rFonts w:ascii="Symbol"/>
          <w:sz w:val="32"/>
        </w:rPr>
      </w:pPr>
      <w:r>
        <w:rPr>
          <w:sz w:val="24"/>
        </w:rPr>
        <w:t>Medicare Consumer Committee</w:t>
      </w:r>
    </w:p>
    <w:p>
      <w:pPr>
        <w:pStyle w:val="ListParagraph"/>
        <w:numPr>
          <w:ilvl w:val="0"/>
          <w:numId w:val="2"/>
        </w:numPr>
        <w:tabs>
          <w:tab w:pos="531" w:val="left" w:leader="none"/>
        </w:tabs>
        <w:spacing w:line="391" w:lineRule="exact" w:before="0" w:after="0"/>
        <w:ind w:left="530" w:right="0" w:hanging="360"/>
        <w:jc w:val="both"/>
        <w:rPr>
          <w:rFonts w:ascii="Symbol"/>
          <w:sz w:val="32"/>
        </w:rPr>
      </w:pPr>
      <w:r>
        <w:rPr>
          <w:sz w:val="24"/>
        </w:rPr>
        <w:t>National Disability / Injury Insurance Scheme</w:t>
      </w:r>
      <w:r>
        <w:rPr>
          <w:spacing w:val="-6"/>
          <w:sz w:val="24"/>
        </w:rPr>
        <w:t> </w:t>
      </w:r>
      <w:r>
        <w:rPr>
          <w:sz w:val="24"/>
        </w:rPr>
        <w:t>Forums</w:t>
      </w:r>
    </w:p>
    <w:p>
      <w:pPr>
        <w:pStyle w:val="ListParagraph"/>
        <w:numPr>
          <w:ilvl w:val="0"/>
          <w:numId w:val="2"/>
        </w:numPr>
        <w:tabs>
          <w:tab w:pos="531" w:val="left" w:leader="none"/>
        </w:tabs>
        <w:spacing w:line="392" w:lineRule="exact" w:before="0" w:after="0"/>
        <w:ind w:left="530" w:right="0" w:hanging="360"/>
        <w:jc w:val="both"/>
        <w:rPr>
          <w:rFonts w:ascii="Symbol"/>
          <w:sz w:val="32"/>
        </w:rPr>
      </w:pPr>
      <w:r>
        <w:rPr>
          <w:sz w:val="24"/>
        </w:rPr>
        <w:t>National Disability Service Standards Focus</w:t>
      </w:r>
      <w:r>
        <w:rPr>
          <w:spacing w:val="-8"/>
          <w:sz w:val="24"/>
        </w:rPr>
        <w:t> </w:t>
      </w:r>
      <w:r>
        <w:rPr>
          <w:sz w:val="24"/>
        </w:rPr>
        <w:t>Group</w:t>
      </w:r>
    </w:p>
    <w:p>
      <w:pPr>
        <w:pStyle w:val="ListParagraph"/>
        <w:numPr>
          <w:ilvl w:val="0"/>
          <w:numId w:val="2"/>
        </w:numPr>
        <w:tabs>
          <w:tab w:pos="531" w:val="left" w:leader="none"/>
          <w:tab w:pos="7246" w:val="left" w:leader="none"/>
        </w:tabs>
        <w:spacing w:line="240" w:lineRule="auto" w:before="2" w:after="0"/>
        <w:ind w:left="530" w:right="0" w:hanging="360"/>
        <w:jc w:val="both"/>
        <w:rPr>
          <w:rFonts w:ascii="Symbol"/>
          <w:sz w:val="32"/>
        </w:rPr>
      </w:pPr>
      <w:r>
        <w:rPr>
          <w:sz w:val="24"/>
        </w:rPr>
        <w:t>Office of</w:t>
      </w:r>
      <w:r>
        <w:rPr>
          <w:spacing w:val="-4"/>
          <w:sz w:val="24"/>
        </w:rPr>
        <w:t> </w:t>
      </w:r>
      <w:r>
        <w:rPr>
          <w:sz w:val="24"/>
        </w:rPr>
        <w:t>Health</w:t>
      </w:r>
      <w:r>
        <w:rPr>
          <w:spacing w:val="-2"/>
          <w:sz w:val="24"/>
        </w:rPr>
        <w:t> </w:t>
      </w:r>
      <w:r>
        <w:rPr>
          <w:sz w:val="24"/>
        </w:rPr>
        <w:t>Review</w:t>
        <w:tab/>
        <w:t>(continued page</w:t>
      </w:r>
      <w:r>
        <w:rPr>
          <w:spacing w:val="-3"/>
          <w:sz w:val="24"/>
        </w:rPr>
        <w:t> </w:t>
      </w:r>
      <w:r>
        <w:rPr>
          <w:sz w:val="24"/>
        </w:rPr>
        <w:t>16)</w:t>
      </w:r>
    </w:p>
    <w:p>
      <w:pPr>
        <w:spacing w:after="0" w:line="240" w:lineRule="auto"/>
        <w:jc w:val="both"/>
        <w:rPr>
          <w:rFonts w:ascii="Symbol"/>
          <w:sz w:val="32"/>
        </w:rPr>
        <w:sectPr>
          <w:footerReference w:type="default" r:id="rId33"/>
          <w:pgSz w:w="11910" w:h="16840"/>
          <w:pgMar w:footer="1097" w:header="0" w:top="1580" w:bottom="1280" w:left="1160" w:right="1120"/>
          <w:pgNumType w:start="15"/>
        </w:sectPr>
      </w:pPr>
    </w:p>
    <w:p>
      <w:pPr>
        <w:pStyle w:val="BodyText"/>
        <w:spacing w:before="8"/>
        <w:rPr>
          <w:sz w:val="8"/>
        </w:rPr>
      </w:pPr>
    </w:p>
    <w:p>
      <w:pPr>
        <w:pStyle w:val="ListParagraph"/>
        <w:numPr>
          <w:ilvl w:val="0"/>
          <w:numId w:val="2"/>
        </w:numPr>
        <w:tabs>
          <w:tab w:pos="530" w:val="left" w:leader="none"/>
          <w:tab w:pos="531" w:val="left" w:leader="none"/>
        </w:tabs>
        <w:spacing w:line="392" w:lineRule="exact" w:before="98" w:after="0"/>
        <w:ind w:left="530" w:right="0" w:hanging="360"/>
        <w:jc w:val="left"/>
        <w:rPr>
          <w:rFonts w:ascii="Symbol"/>
          <w:sz w:val="32"/>
        </w:rPr>
      </w:pPr>
      <w:r>
        <w:rPr>
          <w:sz w:val="24"/>
        </w:rPr>
        <w:t>Post School Options Parent</w:t>
      </w:r>
      <w:r>
        <w:rPr>
          <w:spacing w:val="0"/>
          <w:sz w:val="24"/>
        </w:rPr>
        <w:t> </w:t>
      </w:r>
      <w:r>
        <w:rPr>
          <w:sz w:val="24"/>
        </w:rPr>
        <w:t>Group</w:t>
      </w:r>
    </w:p>
    <w:p>
      <w:pPr>
        <w:pStyle w:val="ListParagraph"/>
        <w:numPr>
          <w:ilvl w:val="0"/>
          <w:numId w:val="2"/>
        </w:numPr>
        <w:tabs>
          <w:tab w:pos="530" w:val="left" w:leader="none"/>
          <w:tab w:pos="531" w:val="left" w:leader="none"/>
        </w:tabs>
        <w:spacing w:line="392" w:lineRule="exact" w:before="0" w:after="0"/>
        <w:ind w:left="530" w:right="0" w:hanging="360"/>
        <w:jc w:val="left"/>
        <w:rPr>
          <w:rFonts w:ascii="Symbol"/>
          <w:sz w:val="32"/>
        </w:rPr>
      </w:pPr>
      <w:r>
        <w:rPr>
          <w:sz w:val="24"/>
        </w:rPr>
        <w:t>Synergy Consumer</w:t>
      </w:r>
      <w:r>
        <w:rPr>
          <w:spacing w:val="-3"/>
          <w:sz w:val="24"/>
        </w:rPr>
        <w:t> </w:t>
      </w:r>
      <w:r>
        <w:rPr>
          <w:sz w:val="24"/>
        </w:rPr>
        <w:t>Committee</w:t>
      </w:r>
    </w:p>
    <w:p>
      <w:pPr>
        <w:pStyle w:val="ListParagraph"/>
        <w:numPr>
          <w:ilvl w:val="0"/>
          <w:numId w:val="2"/>
        </w:numPr>
        <w:tabs>
          <w:tab w:pos="530" w:val="left" w:leader="none"/>
          <w:tab w:pos="531" w:val="left" w:leader="none"/>
        </w:tabs>
        <w:spacing w:line="392" w:lineRule="exact" w:before="2" w:after="0"/>
        <w:ind w:left="530" w:right="0" w:hanging="360"/>
        <w:jc w:val="left"/>
        <w:rPr>
          <w:rFonts w:ascii="Symbol"/>
          <w:sz w:val="32"/>
        </w:rPr>
      </w:pPr>
      <w:r>
        <w:rPr>
          <w:sz w:val="24"/>
        </w:rPr>
        <w:t>Kimberley Advocacy Service reference</w:t>
      </w:r>
      <w:r>
        <w:rPr>
          <w:spacing w:val="-3"/>
          <w:sz w:val="24"/>
        </w:rPr>
        <w:t> </w:t>
      </w:r>
      <w:r>
        <w:rPr>
          <w:sz w:val="24"/>
        </w:rPr>
        <w:t>group</w:t>
      </w:r>
    </w:p>
    <w:p>
      <w:pPr>
        <w:pStyle w:val="ListParagraph"/>
        <w:numPr>
          <w:ilvl w:val="0"/>
          <w:numId w:val="2"/>
        </w:numPr>
        <w:tabs>
          <w:tab w:pos="530" w:val="left" w:leader="none"/>
          <w:tab w:pos="531" w:val="left" w:leader="none"/>
        </w:tabs>
        <w:spacing w:line="392" w:lineRule="exact" w:before="0" w:after="0"/>
        <w:ind w:left="530" w:right="0" w:hanging="360"/>
        <w:jc w:val="left"/>
        <w:rPr>
          <w:rFonts w:ascii="Symbol"/>
          <w:sz w:val="32"/>
        </w:rPr>
      </w:pPr>
      <w:r>
        <w:rPr>
          <w:sz w:val="24"/>
        </w:rPr>
        <w:t>EAC review</w:t>
      </w:r>
      <w:r>
        <w:rPr>
          <w:spacing w:val="-4"/>
          <w:sz w:val="24"/>
        </w:rPr>
        <w:t> </w:t>
      </w:r>
      <w:r>
        <w:rPr>
          <w:sz w:val="24"/>
        </w:rPr>
        <w:t>outcomes</w:t>
      </w:r>
    </w:p>
    <w:p>
      <w:pPr>
        <w:pStyle w:val="ListParagraph"/>
        <w:numPr>
          <w:ilvl w:val="0"/>
          <w:numId w:val="2"/>
        </w:numPr>
        <w:tabs>
          <w:tab w:pos="530" w:val="left" w:leader="none"/>
          <w:tab w:pos="531" w:val="left" w:leader="none"/>
        </w:tabs>
        <w:spacing w:line="240" w:lineRule="auto" w:before="239" w:after="0"/>
        <w:ind w:left="530" w:right="0" w:hanging="360"/>
        <w:jc w:val="left"/>
        <w:rPr>
          <w:rFonts w:ascii="Symbol"/>
          <w:sz w:val="32"/>
        </w:rPr>
      </w:pPr>
      <w:r>
        <w:rPr>
          <w:sz w:val="24"/>
        </w:rPr>
        <w:t>WACOSS peaks</w:t>
      </w:r>
      <w:r>
        <w:rPr>
          <w:spacing w:val="-4"/>
          <w:sz w:val="24"/>
        </w:rPr>
        <w:t> </w:t>
      </w:r>
      <w:r>
        <w:rPr>
          <w:sz w:val="24"/>
        </w:rPr>
        <w:t>forum</w:t>
      </w:r>
    </w:p>
    <w:p>
      <w:pPr>
        <w:pStyle w:val="BodyText"/>
        <w:spacing w:before="240"/>
        <w:ind w:left="170" w:right="221" w:hanging="1"/>
      </w:pPr>
      <w:r>
        <w:rPr/>
        <w:t>PWdWA has also contributed to the review of several Disability Access and Inclusion Plans, and we are planning to set up a reference database including all the Disability Access and Inclusion Plans from the different WA councils, departments and agencies.</w:t>
      </w:r>
    </w:p>
    <w:p>
      <w:pPr>
        <w:pStyle w:val="Heading5"/>
        <w:spacing w:before="206"/>
      </w:pPr>
      <w:r>
        <w:rPr/>
        <w:t>SUBMISSIONS TO GOVERNMENT</w:t>
      </w:r>
    </w:p>
    <w:p>
      <w:pPr>
        <w:pStyle w:val="BodyText"/>
        <w:spacing w:line="343" w:lineRule="auto" w:before="113"/>
        <w:ind w:left="170" w:right="1409"/>
      </w:pPr>
      <w:r>
        <w:rPr/>
        <w:t>This year, PWdWA made several independent submissions to Government. These included submissions to:</w:t>
      </w:r>
    </w:p>
    <w:p>
      <w:pPr>
        <w:pStyle w:val="ListParagraph"/>
        <w:numPr>
          <w:ilvl w:val="0"/>
          <w:numId w:val="3"/>
        </w:numPr>
        <w:tabs>
          <w:tab w:pos="505" w:val="left" w:leader="none"/>
        </w:tabs>
        <w:spacing w:line="240" w:lineRule="auto" w:before="3" w:after="0"/>
        <w:ind w:left="527" w:right="366" w:hanging="357"/>
        <w:jc w:val="left"/>
        <w:rPr>
          <w:sz w:val="24"/>
        </w:rPr>
      </w:pPr>
      <w:r>
        <w:rPr>
          <w:sz w:val="24"/>
        </w:rPr>
        <w:t>The Productivity Commission’s Inquiry into Disability Care and Support – National Disability Insurance Scheme (NDIS) and National Injury Insurance Scheme</w:t>
      </w:r>
      <w:r>
        <w:rPr>
          <w:spacing w:val="-26"/>
          <w:sz w:val="24"/>
        </w:rPr>
        <w:t> </w:t>
      </w:r>
      <w:r>
        <w:rPr>
          <w:sz w:val="24"/>
        </w:rPr>
        <w:t>(NIIS).</w:t>
      </w:r>
    </w:p>
    <w:p>
      <w:pPr>
        <w:pStyle w:val="ListParagraph"/>
        <w:numPr>
          <w:ilvl w:val="0"/>
          <w:numId w:val="3"/>
        </w:numPr>
        <w:tabs>
          <w:tab w:pos="571" w:val="left" w:leader="none"/>
          <w:tab w:pos="572" w:val="left" w:leader="none"/>
        </w:tabs>
        <w:spacing w:line="240" w:lineRule="auto" w:before="120" w:after="0"/>
        <w:ind w:left="527" w:right="539" w:hanging="357"/>
        <w:jc w:val="left"/>
        <w:rPr>
          <w:sz w:val="24"/>
        </w:rPr>
      </w:pPr>
      <w:r>
        <w:rPr>
          <w:sz w:val="24"/>
        </w:rPr>
        <w:t>The Department of Education, Employment and Workplace Relations’ Review of the Disability Standards for Education</w:t>
      </w:r>
      <w:r>
        <w:rPr>
          <w:spacing w:val="-4"/>
          <w:sz w:val="24"/>
        </w:rPr>
        <w:t> </w:t>
      </w:r>
      <w:r>
        <w:rPr>
          <w:sz w:val="24"/>
        </w:rPr>
        <w:t>2005.</w:t>
      </w:r>
    </w:p>
    <w:p>
      <w:pPr>
        <w:pStyle w:val="ListParagraph"/>
        <w:numPr>
          <w:ilvl w:val="0"/>
          <w:numId w:val="3"/>
        </w:numPr>
        <w:tabs>
          <w:tab w:pos="571" w:val="left" w:leader="none"/>
          <w:tab w:pos="572" w:val="left" w:leader="none"/>
        </w:tabs>
        <w:spacing w:line="240" w:lineRule="auto" w:before="120" w:after="0"/>
        <w:ind w:left="527" w:right="539" w:hanging="357"/>
        <w:jc w:val="left"/>
        <w:rPr>
          <w:sz w:val="24"/>
        </w:rPr>
      </w:pPr>
      <w:r>
        <w:rPr>
          <w:sz w:val="24"/>
        </w:rPr>
        <w:t>The Department of Education, Employment and Workplace Relations’ Review of Higher Education Base</w:t>
      </w:r>
      <w:r>
        <w:rPr>
          <w:spacing w:val="-1"/>
          <w:sz w:val="24"/>
        </w:rPr>
        <w:t> </w:t>
      </w:r>
      <w:r>
        <w:rPr>
          <w:sz w:val="24"/>
        </w:rPr>
        <w:t>Funding.</w:t>
      </w:r>
    </w:p>
    <w:p>
      <w:pPr>
        <w:pStyle w:val="BodyText"/>
        <w:spacing w:before="120"/>
        <w:ind w:left="170" w:right="489"/>
      </w:pPr>
      <w:r>
        <w:rPr/>
        <w:t>The full submission reports are available in alternative formats on PWdWA’s website </w:t>
      </w:r>
      <w:hyperlink r:id="rId32">
        <w:r>
          <w:rPr>
            <w:color w:val="5A5A5A"/>
            <w:u w:val="single" w:color="5A5A5A"/>
          </w:rPr>
          <w:t>www.pwdwa.org</w:t>
        </w:r>
        <w:r>
          <w:rPr>
            <w:color w:val="5A5A5A"/>
          </w:rPr>
          <w:t> </w:t>
        </w:r>
      </w:hyperlink>
      <w:r>
        <w:rPr/>
        <w:t>and in hard copy upon request.</w:t>
      </w:r>
    </w:p>
    <w:p>
      <w:pPr>
        <w:pStyle w:val="BodyText"/>
        <w:spacing w:before="4"/>
        <w:rPr>
          <w:sz w:val="19"/>
        </w:rPr>
      </w:pPr>
    </w:p>
    <w:p>
      <w:pPr>
        <w:pStyle w:val="Heading5"/>
        <w:spacing w:before="60"/>
      </w:pPr>
      <w:r>
        <w:rPr/>
        <w:t>PREPARE FOR TAKE OFF</w:t>
      </w:r>
    </w:p>
    <w:p>
      <w:pPr>
        <w:pStyle w:val="BodyText"/>
        <w:spacing w:before="113"/>
        <w:ind w:left="170" w:right="204"/>
        <w:jc w:val="both"/>
      </w:pPr>
      <w:r>
        <w:rPr/>
        <w:t>In April 2011, PWdWA, together with the Ministerial Advisory Council on Disability and Disability Services Commission, launched the ‘Prepare for take off: air travel tips for people with disability’ booklet. The booklet offers a very useful guide for anyone with a disability planning to travel by air and includes a checklist to help ensure travellers have a safe and problem-free</w:t>
      </w:r>
      <w:r>
        <w:rPr>
          <w:spacing w:val="-2"/>
        </w:rPr>
        <w:t> </w:t>
      </w:r>
      <w:r>
        <w:rPr/>
        <w:t>flight.</w:t>
      </w:r>
    </w:p>
    <w:p>
      <w:pPr>
        <w:pStyle w:val="BodyText"/>
        <w:ind w:left="170" w:right="204"/>
        <w:jc w:val="both"/>
      </w:pPr>
      <w:r>
        <w:rPr/>
        <w:t>The ‘Prepare for take off’ booklet could not have been possible without the valued feedback received from air travellers with disability, their families, carers and travel companions.</w:t>
      </w:r>
    </w:p>
    <w:p>
      <w:pPr>
        <w:pStyle w:val="BodyText"/>
        <w:spacing w:before="7"/>
      </w:pPr>
    </w:p>
    <w:p>
      <w:pPr>
        <w:pStyle w:val="Heading5"/>
        <w:spacing w:before="1"/>
      </w:pPr>
      <w:r>
        <w:rPr/>
        <w:t>NATIONAL DISABILITY STRATEGY</w:t>
      </w:r>
    </w:p>
    <w:p>
      <w:pPr>
        <w:pStyle w:val="BodyText"/>
        <w:spacing w:before="112"/>
        <w:ind w:left="170" w:right="204"/>
        <w:jc w:val="both"/>
      </w:pPr>
      <w:r>
        <w:rPr/>
        <w:t>We are very pleased to report that this year saw the endorsement of the National Disability Strategy 2010-2020 by the Council of Australian Governments (COAG). The Strategy sets out six priority areas to improve the lives of people with disabilities, their families and carers: 1) inclusive and accessible communities; 2) rights protection, justice and legislation; 3) economic security; 4) personal and community support; 5) learning and skills; and 6) health and wellbeing.</w:t>
      </w:r>
    </w:p>
    <w:p>
      <w:pPr>
        <w:pStyle w:val="BodyText"/>
        <w:spacing w:line="276" w:lineRule="auto" w:before="1"/>
        <w:ind w:left="170" w:right="206"/>
        <w:jc w:val="both"/>
      </w:pPr>
      <w:r>
        <w:rPr/>
        <w:t>PWdWA will continue to monitor the outcomes of the National Disability Strategy to help ensure that these priority areas are put into</w:t>
      </w:r>
      <w:r>
        <w:rPr>
          <w:spacing w:val="-5"/>
        </w:rPr>
        <w:t> </w:t>
      </w:r>
      <w:r>
        <w:rPr/>
        <w:t>action.</w:t>
      </w:r>
    </w:p>
    <w:p>
      <w:pPr>
        <w:spacing w:after="0" w:line="276" w:lineRule="auto"/>
        <w:jc w:val="both"/>
        <w:sectPr>
          <w:pgSz w:w="11910" w:h="16840"/>
          <w:pgMar w:header="0" w:footer="1097" w:top="1580" w:bottom="1300" w:left="1160" w:right="1120"/>
        </w:sectPr>
      </w:pPr>
    </w:p>
    <w:p>
      <w:pPr>
        <w:pStyle w:val="BodyText"/>
        <w:rPr>
          <w:sz w:val="20"/>
        </w:rPr>
      </w:pPr>
    </w:p>
    <w:p>
      <w:pPr>
        <w:pStyle w:val="BodyText"/>
        <w:rPr>
          <w:sz w:val="20"/>
        </w:rPr>
      </w:pPr>
    </w:p>
    <w:p>
      <w:pPr>
        <w:pStyle w:val="BodyText"/>
        <w:spacing w:before="7"/>
        <w:rPr>
          <w:sz w:val="19"/>
        </w:rPr>
      </w:pPr>
    </w:p>
    <w:p>
      <w:pPr>
        <w:pStyle w:val="Heading5"/>
        <w:ind w:left="151"/>
        <w:jc w:val="both"/>
      </w:pPr>
      <w:bookmarkStart w:name="_TOC_250000" w:id="4"/>
      <w:bookmarkEnd w:id="4"/>
      <w:r>
        <w:rPr/>
        <w:t>Your Rights, Your Voice</w:t>
      </w:r>
    </w:p>
    <w:p>
      <w:pPr>
        <w:pStyle w:val="BodyText"/>
        <w:rPr>
          <w:b/>
        </w:rPr>
      </w:pPr>
    </w:p>
    <w:p>
      <w:pPr>
        <w:pStyle w:val="BodyText"/>
        <w:ind w:left="151" w:right="244" w:hanging="1"/>
        <w:jc w:val="both"/>
      </w:pPr>
      <w:r>
        <w:rPr/>
        <w:t>Your Rights, Your Voice was a carefully designed project with the purpose of empowering adults with a disability under the age of 40. Six very committed participants and various presenters joined us in twelve weekly workshops that started in March and concluded in June</w:t>
      </w:r>
      <w:r>
        <w:rPr>
          <w:spacing w:val="1"/>
        </w:rPr>
        <w:t> </w:t>
      </w:r>
      <w:r>
        <w:rPr/>
        <w:t>2011.</w:t>
      </w:r>
    </w:p>
    <w:p>
      <w:pPr>
        <w:pStyle w:val="BodyText"/>
      </w:pPr>
    </w:p>
    <w:p>
      <w:pPr>
        <w:pStyle w:val="BodyText"/>
        <w:spacing w:before="1"/>
        <w:ind w:left="151" w:right="244"/>
        <w:jc w:val="both"/>
      </w:pPr>
      <w:r>
        <w:rPr/>
        <w:t>Workshops topics ranged from personal leadership, human rights, public speaking, communication skills, talent development, employment law and self-advocacy.</w:t>
      </w:r>
    </w:p>
    <w:p>
      <w:pPr>
        <w:pStyle w:val="BodyText"/>
        <w:spacing w:before="11"/>
        <w:rPr>
          <w:sz w:val="23"/>
        </w:rPr>
      </w:pPr>
    </w:p>
    <w:p>
      <w:pPr>
        <w:pStyle w:val="BodyText"/>
        <w:ind w:left="151" w:right="243"/>
        <w:jc w:val="both"/>
      </w:pPr>
      <w:r>
        <w:rPr/>
        <w:t>The participants learned goal setting strategies and discussed the importance of personal leadership in small group activities. This was followed by practicing their public speaking skills and sharing their stories. They consolidated their learning in communication skills with activities related to their body language, positive thinking  and the power of the</w:t>
      </w:r>
      <w:r>
        <w:rPr>
          <w:spacing w:val="0"/>
        </w:rPr>
        <w:t> </w:t>
      </w:r>
      <w:r>
        <w:rPr/>
        <w:t>smile.</w:t>
      </w:r>
    </w:p>
    <w:p>
      <w:pPr>
        <w:pStyle w:val="BodyText"/>
      </w:pPr>
    </w:p>
    <w:p>
      <w:pPr>
        <w:pStyle w:val="BodyText"/>
        <w:ind w:left="151" w:right="243"/>
        <w:jc w:val="both"/>
      </w:pPr>
      <w:r>
        <w:rPr/>
        <w:t>As part of the project the participants engaged in activities that prompted them to identify their interests, hobbies and strengths. They learned they can use their abilities to find a career pathway meaningful and enjoyable.</w:t>
      </w:r>
    </w:p>
    <w:p>
      <w:pPr>
        <w:pStyle w:val="BodyText"/>
        <w:spacing w:before="9"/>
        <w:rPr>
          <w:sz w:val="23"/>
        </w:rPr>
      </w:pPr>
    </w:p>
    <w:p>
      <w:pPr>
        <w:pStyle w:val="BodyText"/>
        <w:ind w:left="151" w:right="243"/>
        <w:jc w:val="both"/>
      </w:pPr>
      <w:r>
        <w:rPr/>
        <w:t>The Convention on the Rights of People with Disabilities, discrimination and Employment Law were topics that provoked very interesting discussions. The participants reflected on their experiences and shared their views. They also clarified their concerns and gained new knowledge.</w:t>
      </w:r>
    </w:p>
    <w:p>
      <w:pPr>
        <w:pStyle w:val="BodyText"/>
      </w:pPr>
    </w:p>
    <w:p>
      <w:pPr>
        <w:pStyle w:val="BodyText"/>
        <w:spacing w:before="1"/>
        <w:ind w:left="151" w:right="241"/>
        <w:jc w:val="both"/>
      </w:pPr>
      <w:r>
        <w:rPr/>
        <w:pict>
          <v:group style="position:absolute;margin-left:302.665009pt;margin-top:100.945557pt;width:220.1pt;height:165.05pt;mso-position-horizontal-relative:page;mso-position-vertical-relative:paragraph;z-index:-63712" coordorigin="6053,2019" coordsize="4402,3301">
            <v:shape style="position:absolute;left:6053;top:2018;width:4402;height:3301" type="#_x0000_t75" stroked="false">
              <v:imagedata r:id="rId35" o:title=""/>
            </v:shape>
            <v:line style="position:absolute" from="6053,5303" to="10455,5303" stroked="true" strokeweight="1.6pt" strokecolor="#000000">
              <v:stroke dashstyle="solid"/>
            </v:line>
            <v:line style="position:absolute" from="6069,2047" to="6069,5287" stroked="true" strokeweight="1.559936pt" strokecolor="#000000">
              <v:stroke dashstyle="solid"/>
            </v:line>
            <v:line style="position:absolute" from="6053,2033" to="10455,2033" stroked="true" strokeweight="1.4pt" strokecolor="#000000">
              <v:stroke dashstyle="solid"/>
            </v:line>
            <v:line style="position:absolute" from="10439,2048" to="10439,5288" stroked="true" strokeweight="1.559936pt" strokecolor="#000000">
              <v:stroke dashstyle="solid"/>
            </v:line>
            <w10:wrap type="none"/>
          </v:group>
        </w:pict>
      </w:r>
      <w:r>
        <w:rPr/>
        <w:t>An award ceremony was held on the 9th June 2011. The participants celebrated their achievements with friends and presenters. </w:t>
      </w:r>
      <w:r>
        <w:rPr>
          <w:spacing w:val="1"/>
        </w:rPr>
        <w:t>We </w:t>
      </w:r>
      <w:r>
        <w:rPr/>
        <w:t>would like to thank all the participants for their commitment and dedication to the project. Presenters spoke of a deeper appreciation of the challenges that participants face and greater respect for  their efforts to understand concepts and the honesty of their approach to learning. The whole PWdWA organisation were energised and motivated to do more to empower people with disabilities and consult more with people about what they do and how they do it, as result of this</w:t>
      </w:r>
      <w:r>
        <w:rPr>
          <w:spacing w:val="-3"/>
        </w:rPr>
        <w:t> </w:t>
      </w:r>
      <w:r>
        <w:rPr/>
        <w:t>experience.</w:t>
      </w:r>
    </w:p>
    <w:p>
      <w:pPr>
        <w:pStyle w:val="BodyText"/>
      </w:pPr>
    </w:p>
    <w:p>
      <w:pPr>
        <w:pStyle w:val="BodyText"/>
        <w:ind w:left="151" w:right="4786"/>
        <w:jc w:val="both"/>
      </w:pPr>
      <w:r>
        <w:rPr/>
        <w:t>PWdWA thanks The Disability Services Commission for funding Your Rights, Your Voice.</w:t>
      </w:r>
    </w:p>
    <w:p>
      <w:pPr>
        <w:spacing w:after="0"/>
        <w:jc w:val="both"/>
        <w:sectPr>
          <w:footerReference w:type="default" r:id="rId34"/>
          <w:pgSz w:w="11910" w:h="16840"/>
          <w:pgMar w:footer="1305" w:header="0" w:top="1580" w:bottom="1500" w:left="116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p>
    <w:p>
      <w:pPr>
        <w:pStyle w:val="BodyText"/>
        <w:ind w:left="4422"/>
        <w:rPr>
          <w:sz w:val="20"/>
        </w:rPr>
      </w:pPr>
      <w:r>
        <w:rPr>
          <w:sz w:val="20"/>
        </w:rPr>
        <w:drawing>
          <wp:inline distT="0" distB="0" distL="0" distR="0">
            <wp:extent cx="1041475" cy="2632329"/>
            <wp:effectExtent l="0" t="0" r="0" b="0"/>
            <wp:docPr id="7" name="image21.png" descr=""/>
            <wp:cNvGraphicFramePr>
              <a:graphicFrameLocks noChangeAspect="1"/>
            </wp:cNvGraphicFramePr>
            <a:graphic>
              <a:graphicData uri="http://schemas.openxmlformats.org/drawingml/2006/picture">
                <pic:pic>
                  <pic:nvPicPr>
                    <pic:cNvPr id="8" name="image21.png"/>
                    <pic:cNvPicPr/>
                  </pic:nvPicPr>
                  <pic:blipFill>
                    <a:blip r:embed="rId37" cstate="print"/>
                    <a:stretch>
                      <a:fillRect/>
                    </a:stretch>
                  </pic:blipFill>
                  <pic:spPr>
                    <a:xfrm>
                      <a:off x="0" y="0"/>
                      <a:ext cx="1041475" cy="263232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100"/>
        <w:ind w:left="2999"/>
        <w:rPr>
          <w:rFonts w:ascii="Tahoma"/>
        </w:rPr>
      </w:pPr>
      <w:r>
        <w:rPr>
          <w:rFonts w:ascii="Tahoma"/>
          <w:w w:val="120"/>
        </w:rPr>
        <w:t>People With Disabilities WA Inc.</w:t>
      </w:r>
    </w:p>
    <w:p>
      <w:pPr>
        <w:pStyle w:val="BodyText"/>
        <w:spacing w:before="11"/>
        <w:rPr>
          <w:rFonts w:ascii="Tahoma"/>
          <w:sz w:val="23"/>
        </w:rPr>
      </w:pPr>
    </w:p>
    <w:p>
      <w:pPr>
        <w:pStyle w:val="BodyText"/>
        <w:spacing w:line="480" w:lineRule="auto"/>
        <w:ind w:left="2481" w:right="2229"/>
        <w:jc w:val="center"/>
        <w:rPr>
          <w:rFonts w:ascii="Tahoma"/>
        </w:rPr>
      </w:pPr>
      <w:r>
        <w:rPr>
          <w:rFonts w:ascii="Tahoma"/>
          <w:w w:val="115"/>
        </w:rPr>
        <w:t>Financial Statements for the Year Ended 30 June 2011</w:t>
      </w:r>
    </w:p>
    <w:p>
      <w:pPr>
        <w:spacing w:after="0" w:line="480" w:lineRule="auto"/>
        <w:jc w:val="center"/>
        <w:rPr>
          <w:rFonts w:ascii="Tahoma"/>
        </w:rPr>
        <w:sectPr>
          <w:footerReference w:type="default" r:id="rId36"/>
          <w:pgSz w:w="11910" w:h="16840"/>
          <w:pgMar w:footer="1111" w:header="0" w:top="1580" w:bottom="1300" w:left="1160" w:right="112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2"/>
        <w:rPr>
          <w:rFonts w:ascii="Tahoma"/>
          <w:sz w:val="20"/>
        </w:rPr>
      </w:pPr>
    </w:p>
    <w:p>
      <w:pPr>
        <w:spacing w:before="0"/>
        <w:ind w:left="2982" w:right="2750" w:firstLine="0"/>
        <w:jc w:val="center"/>
        <w:rPr>
          <w:rFonts w:ascii="Times New Roman"/>
          <w:sz w:val="20"/>
        </w:rPr>
      </w:pPr>
      <w:r>
        <w:rPr>
          <w:rFonts w:ascii="Times New Roman"/>
          <w:sz w:val="20"/>
        </w:rPr>
        <w:t>19</w:t>
      </w:r>
    </w:p>
    <w:p>
      <w:pPr>
        <w:spacing w:after="0"/>
        <w:jc w:val="center"/>
        <w:rPr>
          <w:rFonts w:ascii="Times New Roman"/>
          <w:sz w:val="20"/>
        </w:rPr>
        <w:sectPr>
          <w:footerReference w:type="default" r:id="rId38"/>
          <w:pgSz w:w="11910" w:h="16840"/>
          <w:pgMar w:footer="0" w:header="0" w:top="1580" w:bottom="280" w:left="480" w:right="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before="92"/>
        <w:ind w:left="2982" w:right="2776" w:firstLine="0"/>
        <w:jc w:val="center"/>
        <w:rPr>
          <w:sz w:val="18"/>
        </w:rPr>
      </w:pPr>
      <w:r>
        <w:rPr>
          <w:color w:val="212121"/>
          <w:sz w:val="18"/>
          <w:u w:val="thick" w:color="212121"/>
        </w:rPr>
        <w:t>PEOPLE WITH DISABILITIES </w:t>
      </w:r>
      <w:r>
        <w:rPr>
          <w:rFonts w:ascii="Times New Roman"/>
          <w:b/>
          <w:color w:val="212121"/>
          <w:sz w:val="19"/>
          <w:u w:val="thick" w:color="212121"/>
        </w:rPr>
        <w:t>{WA) </w:t>
      </w:r>
      <w:r>
        <w:rPr>
          <w:color w:val="212121"/>
          <w:sz w:val="18"/>
          <w:u w:val="thick" w:color="212121"/>
        </w:rPr>
        <w:t>INC</w:t>
      </w:r>
    </w:p>
    <w:p>
      <w:pPr>
        <w:pStyle w:val="BodyText"/>
        <w:rPr>
          <w:sz w:val="20"/>
        </w:rPr>
      </w:pPr>
    </w:p>
    <w:p>
      <w:pPr>
        <w:pStyle w:val="BodyText"/>
        <w:rPr>
          <w:sz w:val="20"/>
        </w:rPr>
      </w:pPr>
    </w:p>
    <w:p>
      <w:pPr>
        <w:pStyle w:val="BodyText"/>
        <w:spacing w:before="10"/>
        <w:rPr>
          <w:sz w:val="22"/>
        </w:rPr>
      </w:pPr>
    </w:p>
    <w:p>
      <w:pPr>
        <w:spacing w:before="0"/>
        <w:ind w:left="3451" w:right="0" w:firstLine="0"/>
        <w:jc w:val="left"/>
        <w:rPr>
          <w:sz w:val="18"/>
        </w:rPr>
      </w:pPr>
      <w:r>
        <w:rPr>
          <w:color w:val="212121"/>
          <w:sz w:val="18"/>
          <w:u w:val="thick" w:color="212121"/>
        </w:rPr>
        <w:t>FINANCIAL STATEMENTS FOR THE YEAR ENDED</w:t>
      </w:r>
    </w:p>
    <w:p>
      <w:pPr>
        <w:pStyle w:val="BodyText"/>
        <w:rPr>
          <w:sz w:val="20"/>
        </w:rPr>
      </w:pPr>
    </w:p>
    <w:p>
      <w:pPr>
        <w:pStyle w:val="BodyText"/>
        <w:rPr>
          <w:sz w:val="23"/>
        </w:rPr>
      </w:pPr>
    </w:p>
    <w:p>
      <w:pPr>
        <w:spacing w:before="0"/>
        <w:ind w:left="2982" w:right="2783" w:firstLine="0"/>
        <w:jc w:val="center"/>
        <w:rPr>
          <w:sz w:val="18"/>
        </w:rPr>
      </w:pPr>
      <w:r>
        <w:rPr>
          <w:color w:val="212121"/>
          <w:w w:val="105"/>
          <w:sz w:val="18"/>
          <w:u w:val="thick" w:color="212121"/>
        </w:rPr>
        <w:t>30 June 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1"/>
          <w:numId w:val="3"/>
        </w:numPr>
        <w:tabs>
          <w:tab w:pos="2951" w:val="left" w:leader="none"/>
          <w:tab w:pos="2953" w:val="left" w:leader="none"/>
        </w:tabs>
        <w:spacing w:line="240" w:lineRule="auto" w:before="0" w:after="0"/>
        <w:ind w:left="2942" w:right="0" w:hanging="582"/>
        <w:jc w:val="left"/>
        <w:rPr>
          <w:sz w:val="18"/>
        </w:rPr>
      </w:pPr>
      <w:r>
        <w:rPr>
          <w:color w:val="212121"/>
          <w:sz w:val="18"/>
        </w:rPr>
        <w:t>Auditor's</w:t>
      </w:r>
      <w:r>
        <w:rPr>
          <w:color w:val="212121"/>
          <w:spacing w:val="8"/>
          <w:sz w:val="18"/>
        </w:rPr>
        <w:t> </w:t>
      </w:r>
      <w:r>
        <w:rPr>
          <w:color w:val="212121"/>
          <w:sz w:val="18"/>
        </w:rPr>
        <w:t>Report</w:t>
      </w:r>
    </w:p>
    <w:p>
      <w:pPr>
        <w:pStyle w:val="BodyText"/>
        <w:spacing w:before="1"/>
        <w:rPr>
          <w:sz w:val="22"/>
        </w:rPr>
      </w:pPr>
    </w:p>
    <w:p>
      <w:pPr>
        <w:pStyle w:val="ListParagraph"/>
        <w:numPr>
          <w:ilvl w:val="1"/>
          <w:numId w:val="3"/>
        </w:numPr>
        <w:tabs>
          <w:tab w:pos="2943" w:val="left" w:leader="none"/>
          <w:tab w:pos="2944" w:val="left" w:leader="none"/>
        </w:tabs>
        <w:spacing w:line="240" w:lineRule="auto" w:before="1" w:after="0"/>
        <w:ind w:left="2943" w:right="0" w:hanging="583"/>
        <w:jc w:val="left"/>
        <w:rPr>
          <w:sz w:val="18"/>
        </w:rPr>
      </w:pPr>
      <w:r>
        <w:rPr>
          <w:color w:val="212121"/>
          <w:sz w:val="18"/>
        </w:rPr>
        <w:t>Statement by</w:t>
      </w:r>
      <w:r>
        <w:rPr>
          <w:color w:val="212121"/>
          <w:spacing w:val="-1"/>
          <w:sz w:val="18"/>
        </w:rPr>
        <w:t> </w:t>
      </w:r>
      <w:r>
        <w:rPr>
          <w:color w:val="212121"/>
          <w:sz w:val="18"/>
        </w:rPr>
        <w:t>President</w:t>
      </w:r>
    </w:p>
    <w:p>
      <w:pPr>
        <w:pStyle w:val="BodyText"/>
        <w:spacing w:before="1"/>
        <w:rPr>
          <w:sz w:val="22"/>
        </w:rPr>
      </w:pPr>
    </w:p>
    <w:p>
      <w:pPr>
        <w:pStyle w:val="ListParagraph"/>
        <w:numPr>
          <w:ilvl w:val="1"/>
          <w:numId w:val="3"/>
        </w:numPr>
        <w:tabs>
          <w:tab w:pos="2944" w:val="left" w:leader="none"/>
          <w:tab w:pos="2945" w:val="left" w:leader="none"/>
        </w:tabs>
        <w:spacing w:line="240" w:lineRule="auto" w:before="0" w:after="0"/>
        <w:ind w:left="2944" w:right="0" w:hanging="587"/>
        <w:jc w:val="left"/>
        <w:rPr>
          <w:sz w:val="18"/>
        </w:rPr>
      </w:pPr>
      <w:r>
        <w:rPr>
          <w:color w:val="212121"/>
          <w:sz w:val="18"/>
        </w:rPr>
        <w:t>Income</w:t>
      </w:r>
      <w:r>
        <w:rPr>
          <w:color w:val="212121"/>
          <w:spacing w:val="5"/>
          <w:sz w:val="18"/>
        </w:rPr>
        <w:t> </w:t>
      </w:r>
      <w:r>
        <w:rPr>
          <w:color w:val="212121"/>
          <w:sz w:val="18"/>
        </w:rPr>
        <w:t>Statement</w:t>
      </w:r>
    </w:p>
    <w:p>
      <w:pPr>
        <w:pStyle w:val="BodyText"/>
        <w:spacing w:before="11"/>
        <w:rPr>
          <w:sz w:val="22"/>
        </w:rPr>
      </w:pPr>
    </w:p>
    <w:p>
      <w:pPr>
        <w:pStyle w:val="ListParagraph"/>
        <w:numPr>
          <w:ilvl w:val="1"/>
          <w:numId w:val="3"/>
        </w:numPr>
        <w:tabs>
          <w:tab w:pos="2943" w:val="left" w:leader="none"/>
          <w:tab w:pos="2944" w:val="left" w:leader="none"/>
        </w:tabs>
        <w:spacing w:line="240" w:lineRule="auto" w:before="0" w:after="0"/>
        <w:ind w:left="2943" w:right="0" w:hanging="580"/>
        <w:jc w:val="left"/>
        <w:rPr>
          <w:sz w:val="18"/>
        </w:rPr>
      </w:pPr>
      <w:r>
        <w:rPr>
          <w:color w:val="212121"/>
          <w:sz w:val="18"/>
        </w:rPr>
        <w:t>Balance</w:t>
      </w:r>
      <w:r>
        <w:rPr>
          <w:color w:val="212121"/>
          <w:spacing w:val="3"/>
          <w:sz w:val="18"/>
        </w:rPr>
        <w:t> </w:t>
      </w:r>
      <w:r>
        <w:rPr>
          <w:color w:val="212121"/>
          <w:sz w:val="18"/>
        </w:rPr>
        <w:t>Sheet</w:t>
      </w:r>
    </w:p>
    <w:p>
      <w:pPr>
        <w:pStyle w:val="BodyText"/>
        <w:spacing w:before="4"/>
        <w:rPr>
          <w:sz w:val="23"/>
        </w:rPr>
      </w:pPr>
    </w:p>
    <w:p>
      <w:pPr>
        <w:pStyle w:val="ListParagraph"/>
        <w:numPr>
          <w:ilvl w:val="1"/>
          <w:numId w:val="3"/>
        </w:numPr>
        <w:tabs>
          <w:tab w:pos="2943" w:val="left" w:leader="none"/>
          <w:tab w:pos="2944" w:val="left" w:leader="none"/>
        </w:tabs>
        <w:spacing w:line="240" w:lineRule="auto" w:before="0" w:after="0"/>
        <w:ind w:left="2943" w:right="0" w:hanging="581"/>
        <w:jc w:val="left"/>
        <w:rPr>
          <w:sz w:val="18"/>
        </w:rPr>
      </w:pPr>
      <w:r>
        <w:rPr>
          <w:color w:val="212121"/>
          <w:sz w:val="18"/>
        </w:rPr>
        <w:t>Statement of</w:t>
      </w:r>
      <w:r>
        <w:rPr>
          <w:color w:val="212121"/>
          <w:spacing w:val="5"/>
          <w:sz w:val="18"/>
        </w:rPr>
        <w:t> </w:t>
      </w:r>
      <w:r>
        <w:rPr>
          <w:color w:val="212121"/>
          <w:sz w:val="18"/>
        </w:rPr>
        <w:t>Cashflows</w:t>
      </w:r>
    </w:p>
    <w:p>
      <w:pPr>
        <w:pStyle w:val="BodyText"/>
        <w:spacing w:before="11"/>
        <w:rPr>
          <w:sz w:val="22"/>
        </w:rPr>
      </w:pPr>
    </w:p>
    <w:p>
      <w:pPr>
        <w:pStyle w:val="ListParagraph"/>
        <w:numPr>
          <w:ilvl w:val="1"/>
          <w:numId w:val="3"/>
        </w:numPr>
        <w:tabs>
          <w:tab w:pos="2942" w:val="left" w:leader="none"/>
          <w:tab w:pos="2943" w:val="left" w:leader="none"/>
        </w:tabs>
        <w:spacing w:line="273" w:lineRule="auto" w:before="0" w:after="0"/>
        <w:ind w:left="2942" w:right="4723" w:hanging="579"/>
        <w:jc w:val="left"/>
        <w:rPr>
          <w:sz w:val="18"/>
        </w:rPr>
      </w:pPr>
      <w:r>
        <w:rPr>
          <w:color w:val="212121"/>
          <w:w w:val="105"/>
          <w:sz w:val="18"/>
        </w:rPr>
        <w:t>Notes</w:t>
      </w:r>
      <w:r>
        <w:rPr>
          <w:color w:val="212121"/>
          <w:spacing w:val="-19"/>
          <w:w w:val="105"/>
          <w:sz w:val="18"/>
        </w:rPr>
        <w:t> </w:t>
      </w:r>
      <w:r>
        <w:rPr>
          <w:color w:val="212121"/>
          <w:w w:val="105"/>
          <w:sz w:val="18"/>
        </w:rPr>
        <w:t>to</w:t>
      </w:r>
      <w:r>
        <w:rPr>
          <w:color w:val="212121"/>
          <w:spacing w:val="-19"/>
          <w:w w:val="105"/>
          <w:sz w:val="18"/>
        </w:rPr>
        <w:t> </w:t>
      </w:r>
      <w:r>
        <w:rPr>
          <w:color w:val="212121"/>
          <w:w w:val="105"/>
          <w:sz w:val="18"/>
        </w:rPr>
        <w:t>and</w:t>
      </w:r>
      <w:r>
        <w:rPr>
          <w:color w:val="212121"/>
          <w:spacing w:val="-15"/>
          <w:w w:val="105"/>
          <w:sz w:val="18"/>
        </w:rPr>
        <w:t> </w:t>
      </w:r>
      <w:r>
        <w:rPr>
          <w:color w:val="212121"/>
          <w:w w:val="105"/>
          <w:sz w:val="18"/>
        </w:rPr>
        <w:t>forming</w:t>
      </w:r>
      <w:r>
        <w:rPr>
          <w:color w:val="212121"/>
          <w:spacing w:val="-17"/>
          <w:w w:val="105"/>
          <w:sz w:val="18"/>
        </w:rPr>
        <w:t> </w:t>
      </w:r>
      <w:r>
        <w:rPr>
          <w:color w:val="212121"/>
          <w:w w:val="105"/>
          <w:sz w:val="18"/>
        </w:rPr>
        <w:t>part</w:t>
      </w:r>
      <w:r>
        <w:rPr>
          <w:color w:val="212121"/>
          <w:spacing w:val="-16"/>
          <w:w w:val="105"/>
          <w:sz w:val="18"/>
        </w:rPr>
        <w:t> </w:t>
      </w:r>
      <w:r>
        <w:rPr>
          <w:color w:val="212121"/>
          <w:w w:val="105"/>
          <w:sz w:val="18"/>
        </w:rPr>
        <w:t>of</w:t>
      </w:r>
      <w:r>
        <w:rPr>
          <w:color w:val="212121"/>
          <w:spacing w:val="-13"/>
          <w:w w:val="105"/>
          <w:sz w:val="18"/>
        </w:rPr>
        <w:t> </w:t>
      </w:r>
      <w:r>
        <w:rPr>
          <w:color w:val="212121"/>
          <w:w w:val="105"/>
          <w:sz w:val="18"/>
        </w:rPr>
        <w:t>the</w:t>
      </w:r>
      <w:r>
        <w:rPr>
          <w:color w:val="212121"/>
          <w:spacing w:val="-18"/>
          <w:w w:val="105"/>
          <w:sz w:val="18"/>
        </w:rPr>
        <w:t> </w:t>
      </w:r>
      <w:r>
        <w:rPr>
          <w:color w:val="212121"/>
          <w:w w:val="105"/>
          <w:sz w:val="18"/>
        </w:rPr>
        <w:t>accounts Notes 1</w:t>
      </w:r>
      <w:r>
        <w:rPr>
          <w:color w:val="212121"/>
          <w:spacing w:val="-9"/>
          <w:w w:val="105"/>
          <w:sz w:val="18"/>
        </w:rPr>
        <w:t> </w:t>
      </w:r>
      <w:r>
        <w:rPr>
          <w:color w:val="212121"/>
          <w:w w:val="105"/>
          <w:sz w:val="18"/>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0"/>
        <w:ind w:left="2982" w:right="2669" w:firstLine="0"/>
        <w:jc w:val="center"/>
        <w:rPr>
          <w:rFonts w:ascii="Courier New"/>
          <w:sz w:val="22"/>
        </w:rPr>
      </w:pPr>
      <w:r>
        <w:rPr>
          <w:rFonts w:ascii="Courier New"/>
          <w:color w:val="212121"/>
          <w:w w:val="95"/>
          <w:sz w:val="22"/>
        </w:rPr>
        <w:t>20</w:t>
      </w:r>
    </w:p>
    <w:p>
      <w:pPr>
        <w:spacing w:after="0"/>
        <w:jc w:val="center"/>
        <w:rPr>
          <w:rFonts w:ascii="Courier New"/>
          <w:sz w:val="22"/>
        </w:rPr>
        <w:sectPr>
          <w:footerReference w:type="default" r:id="rId39"/>
          <w:pgSz w:w="11910" w:h="16840"/>
          <w:pgMar w:footer="0" w:header="0" w:top="1580" w:bottom="280" w:left="480" w:right="380"/>
        </w:sect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5"/>
        <w:rPr>
          <w:rFonts w:ascii="Courier New"/>
          <w:sz w:val="21"/>
        </w:rPr>
      </w:pPr>
    </w:p>
    <w:p>
      <w:pPr>
        <w:spacing w:line="215" w:lineRule="exact" w:before="0"/>
        <w:ind w:left="136" w:right="0" w:firstLine="0"/>
        <w:jc w:val="left"/>
        <w:rPr>
          <w:rFonts w:ascii="Times New Roman"/>
          <w:sz w:val="20"/>
        </w:rPr>
      </w:pPr>
      <w:r>
        <w:rPr>
          <w:rFonts w:ascii="Times New Roman"/>
          <w:color w:val="494949"/>
          <w:w w:val="95"/>
          <w:sz w:val="20"/>
        </w:rPr>
        <w:t>PRINCIPAL:</w:t>
      </w:r>
    </w:p>
    <w:p>
      <w:pPr>
        <w:pStyle w:val="Heading1"/>
        <w:spacing w:before="70"/>
      </w:pPr>
      <w:r>
        <w:rPr>
          <w:b w:val="0"/>
        </w:rPr>
        <w:br w:type="column"/>
      </w:r>
      <w:r>
        <w:rPr>
          <w:color w:val="494949"/>
          <w:w w:val="105"/>
        </w:rPr>
        <w:t>RAY</w:t>
      </w:r>
      <w:r>
        <w:rPr>
          <w:color w:val="494949"/>
          <w:spacing w:val="-46"/>
          <w:w w:val="105"/>
        </w:rPr>
        <w:t> </w:t>
      </w:r>
      <w:r>
        <w:rPr>
          <w:color w:val="494949"/>
          <w:w w:val="105"/>
        </w:rPr>
        <w:t>WOOLLEY</w:t>
      </w:r>
      <w:r>
        <w:rPr>
          <w:color w:val="494949"/>
          <w:spacing w:val="-21"/>
          <w:w w:val="105"/>
        </w:rPr>
        <w:t> </w:t>
      </w:r>
      <w:r>
        <w:rPr>
          <w:color w:val="494949"/>
          <w:w w:val="105"/>
        </w:rPr>
        <w:t>PTY</w:t>
      </w:r>
      <w:r>
        <w:rPr>
          <w:color w:val="494949"/>
          <w:spacing w:val="-37"/>
          <w:w w:val="105"/>
        </w:rPr>
        <w:t> </w:t>
      </w:r>
      <w:r>
        <w:rPr>
          <w:color w:val="494949"/>
          <w:w w:val="105"/>
        </w:rPr>
        <w:t>LTD</w:t>
      </w:r>
    </w:p>
    <w:p>
      <w:pPr>
        <w:pStyle w:val="Heading4"/>
        <w:spacing w:before="6"/>
      </w:pPr>
      <w:r>
        <w:rPr>
          <w:color w:val="494949"/>
        </w:rPr>
        <w:t>ACCOUNTANTS</w:t>
      </w:r>
    </w:p>
    <w:p>
      <w:pPr>
        <w:pStyle w:val="BodyText"/>
        <w:rPr>
          <w:rFonts w:ascii="Times New Roman"/>
          <w:sz w:val="12"/>
        </w:rPr>
      </w:pPr>
      <w:r>
        <w:rPr/>
        <w:br w:type="column"/>
      </w:r>
      <w:r>
        <w:rPr>
          <w:rFonts w:ascii="Times New Roman"/>
          <w:sz w:val="12"/>
        </w:rPr>
      </w:r>
    </w:p>
    <w:p>
      <w:pPr>
        <w:pStyle w:val="BodyText"/>
        <w:rPr>
          <w:rFonts w:ascii="Times New Roman"/>
          <w:sz w:val="12"/>
        </w:rPr>
      </w:pPr>
    </w:p>
    <w:p>
      <w:pPr>
        <w:spacing w:before="88"/>
        <w:ind w:left="90" w:right="0" w:firstLine="0"/>
        <w:jc w:val="left"/>
        <w:rPr>
          <w:rFonts w:ascii="Times New Roman"/>
          <w:i/>
          <w:sz w:val="12"/>
        </w:rPr>
      </w:pPr>
      <w:r>
        <w:rPr>
          <w:rFonts w:ascii="Times New Roman"/>
          <w:color w:val="626262"/>
          <w:sz w:val="12"/>
        </w:rPr>
        <w:t>AB</w:t>
      </w:r>
      <w:r>
        <w:rPr>
          <w:rFonts w:ascii="Times New Roman"/>
          <w:color w:val="7B7B7B"/>
          <w:sz w:val="12"/>
        </w:rPr>
        <w:t>N </w:t>
      </w:r>
      <w:r>
        <w:rPr>
          <w:rFonts w:ascii="Times New Roman"/>
          <w:color w:val="626262"/>
          <w:sz w:val="12"/>
        </w:rPr>
        <w:t>3</w:t>
      </w:r>
      <w:r>
        <w:rPr>
          <w:rFonts w:ascii="Times New Roman"/>
          <w:color w:val="7B7B7B"/>
          <w:sz w:val="12"/>
        </w:rPr>
        <w:t>0 </w:t>
      </w:r>
      <w:r>
        <w:rPr>
          <w:rFonts w:ascii="Times New Roman"/>
          <w:color w:val="626262"/>
          <w:sz w:val="12"/>
        </w:rPr>
        <w:t>0</w:t>
      </w:r>
      <w:r>
        <w:rPr>
          <w:rFonts w:ascii="Times New Roman"/>
          <w:color w:val="7B7B7B"/>
          <w:sz w:val="12"/>
        </w:rPr>
        <w:t>:56</w:t>
      </w:r>
      <w:r>
        <w:rPr>
          <w:rFonts w:ascii="Times New Roman"/>
          <w:i/>
          <w:color w:val="AFAFAF"/>
          <w:sz w:val="12"/>
        </w:rPr>
        <w:t>'</w:t>
      </w:r>
      <w:r>
        <w:rPr>
          <w:rFonts w:ascii="Times New Roman"/>
          <w:i/>
          <w:color w:val="7B7B7B"/>
          <w:sz w:val="12"/>
        </w:rPr>
        <w:t>ll 1 1</w:t>
      </w: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spacing w:before="8"/>
        <w:rPr>
          <w:rFonts w:ascii="Times New Roman"/>
          <w:i/>
          <w:sz w:val="15"/>
        </w:rPr>
      </w:pPr>
    </w:p>
    <w:p>
      <w:pPr>
        <w:spacing w:line="109" w:lineRule="exact" w:before="0"/>
        <w:ind w:left="491" w:right="0" w:firstLine="0"/>
        <w:jc w:val="left"/>
        <w:rPr>
          <w:rFonts w:ascii="Times New Roman"/>
          <w:sz w:val="20"/>
        </w:rPr>
      </w:pPr>
      <w:r>
        <w:rPr/>
        <w:pict>
          <v:line style="position:absolute;mso-position-horizontal-relative:page;mso-position-vertical-relative:paragraph;z-index:1480" from="29.799759pt,-7.722902pt" to="569.079263pt,-7.722902pt" stroked="true" strokeweight="1.92212pt" strokecolor="#000000">
            <v:stroke dashstyle="solid"/>
            <w10:wrap type="none"/>
          </v:line>
        </w:pict>
      </w:r>
      <w:r>
        <w:rPr/>
        <w:pict>
          <v:line style="position:absolute;mso-position-horizontal-relative:page;mso-position-vertical-relative:paragraph;z-index:-63640" from="479.73407pt,-37.176003pt" to="479.73407pt,-29.186723pt" stroked="true" strokeweight=".720962pt" strokecolor="#efefef">
            <v:stroke dashstyle="solid"/>
            <w10:wrap type="none"/>
          </v:line>
        </w:pict>
      </w:r>
      <w:r>
        <w:rPr>
          <w:rFonts w:ascii="Times New Roman"/>
          <w:color w:val="494949"/>
          <w:sz w:val="20"/>
        </w:rPr>
        <w:t>1</w:t>
      </w:r>
      <w:r>
        <w:rPr>
          <w:rFonts w:ascii="Times New Roman"/>
          <w:color w:val="626262"/>
          <w:sz w:val="20"/>
        </w:rPr>
        <w:t>9 </w:t>
      </w:r>
      <w:r>
        <w:rPr>
          <w:rFonts w:ascii="Times New Roman"/>
          <w:color w:val="494949"/>
          <w:sz w:val="20"/>
        </w:rPr>
        <w:t>BAYPORT </w:t>
      </w:r>
      <w:r>
        <w:rPr>
          <w:rFonts w:ascii="Times New Roman"/>
          <w:color w:val="626262"/>
          <w:sz w:val="20"/>
        </w:rPr>
        <w:t>C</w:t>
      </w:r>
      <w:r>
        <w:rPr>
          <w:rFonts w:ascii="Times New Roman"/>
          <w:color w:val="494949"/>
          <w:sz w:val="20"/>
        </w:rPr>
        <w:t>IRC</w:t>
      </w:r>
      <w:r>
        <w:rPr>
          <w:rFonts w:ascii="Times New Roman"/>
          <w:color w:val="626262"/>
          <w:sz w:val="20"/>
        </w:rPr>
        <w:t>UIT</w:t>
      </w:r>
    </w:p>
    <w:p>
      <w:pPr>
        <w:spacing w:after="0" w:line="109" w:lineRule="exact"/>
        <w:jc w:val="left"/>
        <w:rPr>
          <w:rFonts w:ascii="Times New Roman"/>
          <w:sz w:val="20"/>
        </w:rPr>
        <w:sectPr>
          <w:footerReference w:type="default" r:id="rId40"/>
          <w:pgSz w:w="11910" w:h="16840"/>
          <w:pgMar w:footer="1209" w:header="0" w:top="620" w:bottom="1400" w:left="480" w:right="380"/>
          <w:pgNumType w:start="21"/>
          <w:cols w:num="3" w:equalWidth="0">
            <w:col w:w="1235" w:space="1293"/>
            <w:col w:w="5835" w:space="39"/>
            <w:col w:w="2648"/>
          </w:cols>
        </w:sectPr>
      </w:pPr>
    </w:p>
    <w:p>
      <w:pPr>
        <w:spacing w:line="222" w:lineRule="exact" w:before="0"/>
        <w:ind w:left="155" w:right="0" w:firstLine="0"/>
        <w:jc w:val="left"/>
        <w:rPr>
          <w:rFonts w:ascii="Times New Roman"/>
          <w:sz w:val="12"/>
        </w:rPr>
      </w:pPr>
      <w:r>
        <w:rPr>
          <w:rFonts w:ascii="Times New Roman"/>
          <w:color w:val="494949"/>
          <w:spacing w:val="-7"/>
          <w:sz w:val="20"/>
        </w:rPr>
        <w:t>RA</w:t>
      </w:r>
      <w:r>
        <w:rPr>
          <w:rFonts w:ascii="Times New Roman"/>
          <w:color w:val="626262"/>
          <w:spacing w:val="-7"/>
          <w:sz w:val="20"/>
        </w:rPr>
        <w:t>Y </w:t>
      </w:r>
      <w:r>
        <w:rPr>
          <w:rFonts w:ascii="Times New Roman"/>
          <w:color w:val="494949"/>
          <w:sz w:val="20"/>
        </w:rPr>
        <w:t>WOO</w:t>
      </w:r>
      <w:r>
        <w:rPr>
          <w:rFonts w:ascii="Times New Roman"/>
          <w:color w:val="626262"/>
          <w:sz w:val="20"/>
        </w:rPr>
        <w:t>L</w:t>
      </w:r>
      <w:r>
        <w:rPr>
          <w:rFonts w:ascii="Times New Roman"/>
          <w:color w:val="494949"/>
          <w:sz w:val="20"/>
        </w:rPr>
        <w:t>LEY </w:t>
      </w:r>
      <w:r>
        <w:rPr>
          <w:rFonts w:ascii="Times New Roman"/>
          <w:color w:val="626262"/>
          <w:sz w:val="13"/>
        </w:rPr>
        <w:t>f.</w:t>
      </w:r>
      <w:r>
        <w:rPr>
          <w:rFonts w:ascii="Times New Roman"/>
          <w:color w:val="7B7B7B"/>
          <w:sz w:val="13"/>
        </w:rPr>
        <w:t>C</w:t>
      </w:r>
      <w:r>
        <w:rPr>
          <w:rFonts w:ascii="Times New Roman"/>
          <w:color w:val="9C9C9C"/>
          <w:sz w:val="13"/>
        </w:rPr>
        <w:t>.</w:t>
      </w:r>
      <w:r>
        <w:rPr>
          <w:rFonts w:ascii="Times New Roman"/>
          <w:color w:val="626262"/>
          <w:sz w:val="13"/>
        </w:rPr>
        <w:t>A</w:t>
      </w:r>
      <w:r>
        <w:rPr>
          <w:rFonts w:ascii="Times New Roman"/>
          <w:color w:val="9C9C9C"/>
          <w:sz w:val="13"/>
        </w:rPr>
        <w:t>. </w:t>
      </w:r>
      <w:r>
        <w:rPr>
          <w:color w:val="626262"/>
          <w:sz w:val="11"/>
        </w:rPr>
        <w:t>(UK \</w:t>
      </w:r>
      <w:r>
        <w:rPr>
          <w:color w:val="9C9C9C"/>
          <w:sz w:val="11"/>
        </w:rPr>
        <w:t>, </w:t>
      </w:r>
      <w:r>
        <w:rPr>
          <w:rFonts w:ascii="Times New Roman"/>
          <w:color w:val="626262"/>
          <w:spacing w:val="-5"/>
          <w:sz w:val="13"/>
        </w:rPr>
        <w:t>B</w:t>
      </w:r>
      <w:r>
        <w:rPr>
          <w:rFonts w:ascii="Times New Roman"/>
          <w:color w:val="7B7B7B"/>
          <w:spacing w:val="-5"/>
          <w:sz w:val="13"/>
        </w:rPr>
        <w:t>.</w:t>
      </w:r>
      <w:r>
        <w:rPr>
          <w:rFonts w:ascii="Times New Roman"/>
          <w:color w:val="626262"/>
          <w:spacing w:val="-5"/>
          <w:sz w:val="13"/>
        </w:rPr>
        <w:t>S</w:t>
      </w:r>
      <w:r>
        <w:rPr>
          <w:rFonts w:ascii="Times New Roman"/>
          <w:color w:val="7B7B7B"/>
          <w:spacing w:val="-5"/>
          <w:sz w:val="13"/>
        </w:rPr>
        <w:t>.:. </w:t>
      </w:r>
      <w:r>
        <w:rPr>
          <w:rFonts w:ascii="Times New Roman"/>
          <w:color w:val="626262"/>
          <w:sz w:val="12"/>
        </w:rPr>
        <w:t>(lio </w:t>
      </w:r>
      <w:r>
        <w:rPr>
          <w:rFonts w:ascii="Times New Roman"/>
          <w:color w:val="7B7B7B"/>
          <w:sz w:val="12"/>
        </w:rPr>
        <w:t>ns)</w:t>
      </w:r>
    </w:p>
    <w:p>
      <w:pPr>
        <w:spacing w:line="238" w:lineRule="exact" w:before="126"/>
        <w:ind w:left="151" w:right="0" w:firstLine="0"/>
        <w:jc w:val="left"/>
        <w:rPr>
          <w:rFonts w:ascii="Times New Roman"/>
          <w:b/>
          <w:sz w:val="21"/>
        </w:rPr>
      </w:pPr>
      <w:r>
        <w:rPr>
          <w:rFonts w:ascii="Times New Roman"/>
          <w:color w:val="494949"/>
          <w:w w:val="105"/>
          <w:sz w:val="20"/>
        </w:rPr>
        <w:t>PHO</w:t>
      </w:r>
      <w:r>
        <w:rPr>
          <w:rFonts w:ascii="Times New Roman"/>
          <w:color w:val="626262"/>
          <w:w w:val="105"/>
          <w:sz w:val="20"/>
        </w:rPr>
        <w:t>NE: </w:t>
      </w:r>
      <w:r>
        <w:rPr>
          <w:rFonts w:ascii="Times New Roman"/>
          <w:color w:val="494949"/>
          <w:w w:val="105"/>
          <w:sz w:val="20"/>
        </w:rPr>
        <w:t>(08</w:t>
      </w:r>
      <w:r>
        <w:rPr>
          <w:rFonts w:ascii="Times New Roman"/>
          <w:color w:val="626262"/>
          <w:w w:val="105"/>
          <w:sz w:val="20"/>
        </w:rPr>
        <w:t>) </w:t>
      </w:r>
      <w:r>
        <w:rPr>
          <w:rFonts w:ascii="Times New Roman"/>
          <w:b/>
          <w:color w:val="494949"/>
          <w:w w:val="105"/>
          <w:sz w:val="21"/>
        </w:rPr>
        <w:t>94</w:t>
      </w:r>
      <w:r>
        <w:rPr>
          <w:rFonts w:ascii="Times New Roman"/>
          <w:b/>
          <w:color w:val="1D1D1D"/>
          <w:w w:val="105"/>
          <w:sz w:val="21"/>
        </w:rPr>
        <w:t>0</w:t>
      </w:r>
      <w:r>
        <w:rPr>
          <w:rFonts w:ascii="Times New Roman"/>
          <w:b/>
          <w:color w:val="494949"/>
          <w:w w:val="105"/>
          <w:sz w:val="21"/>
        </w:rPr>
        <w:t>8 5155</w:t>
      </w:r>
    </w:p>
    <w:p>
      <w:pPr>
        <w:tabs>
          <w:tab w:pos="939" w:val="left" w:leader="none"/>
        </w:tabs>
        <w:spacing w:line="220" w:lineRule="exact" w:before="0"/>
        <w:ind w:left="151" w:right="0" w:firstLine="0"/>
        <w:jc w:val="left"/>
        <w:rPr>
          <w:rFonts w:ascii="Times New Roman"/>
          <w:sz w:val="20"/>
        </w:rPr>
      </w:pPr>
      <w:r>
        <w:rPr>
          <w:rFonts w:ascii="Times New Roman"/>
          <w:color w:val="626262"/>
          <w:spacing w:val="-3"/>
          <w:sz w:val="20"/>
        </w:rPr>
        <w:t>F</w:t>
      </w:r>
      <w:r>
        <w:rPr>
          <w:rFonts w:ascii="Times New Roman"/>
          <w:color w:val="494949"/>
          <w:spacing w:val="-3"/>
          <w:sz w:val="20"/>
        </w:rPr>
        <w:t>AX</w:t>
      </w:r>
      <w:r>
        <w:rPr>
          <w:rFonts w:ascii="Times New Roman"/>
          <w:color w:val="626262"/>
          <w:spacing w:val="-3"/>
          <w:sz w:val="20"/>
        </w:rPr>
        <w:t>:</w:t>
        <w:tab/>
      </w:r>
      <w:r>
        <w:rPr>
          <w:rFonts w:ascii="Times New Roman"/>
          <w:color w:val="494949"/>
          <w:sz w:val="20"/>
        </w:rPr>
        <w:t>(08) 9408</w:t>
      </w:r>
      <w:r>
        <w:rPr>
          <w:rFonts w:ascii="Times New Roman"/>
          <w:color w:val="494949"/>
          <w:spacing w:val="-2"/>
          <w:sz w:val="20"/>
        </w:rPr>
        <w:t> </w:t>
      </w:r>
      <w:r>
        <w:rPr>
          <w:rFonts w:ascii="Times New Roman"/>
          <w:color w:val="494949"/>
          <w:sz w:val="20"/>
        </w:rPr>
        <w:t>5166</w:t>
      </w:r>
    </w:p>
    <w:p>
      <w:pPr>
        <w:spacing w:line="223" w:lineRule="exact" w:before="0"/>
        <w:ind w:left="145" w:right="0" w:firstLine="0"/>
        <w:jc w:val="left"/>
        <w:rPr>
          <w:rFonts w:ascii="Times New Roman"/>
          <w:sz w:val="20"/>
        </w:rPr>
      </w:pPr>
      <w:r>
        <w:rPr>
          <w:rFonts w:ascii="Times New Roman"/>
          <w:color w:val="626262"/>
          <w:sz w:val="20"/>
        </w:rPr>
        <w:t>E.</w:t>
      </w:r>
      <w:r>
        <w:rPr>
          <w:rFonts w:ascii="Times New Roman"/>
          <w:color w:val="494949"/>
          <w:sz w:val="20"/>
        </w:rPr>
        <w:t>MAIL: </w:t>
      </w:r>
      <w:hyperlink r:id="rId41">
        <w:r>
          <w:rPr>
            <w:rFonts w:ascii="Times New Roman"/>
            <w:color w:val="494949"/>
            <w:sz w:val="20"/>
          </w:rPr>
          <w:t>rayw</w:t>
        </w:r>
        <w:r>
          <w:rPr>
            <w:rFonts w:ascii="Times New Roman"/>
            <w:color w:val="626262"/>
            <w:sz w:val="20"/>
          </w:rPr>
          <w:t>@i</w:t>
        </w:r>
        <w:r>
          <w:rPr>
            <w:rFonts w:ascii="Times New Roman"/>
            <w:color w:val="494949"/>
            <w:sz w:val="20"/>
          </w:rPr>
          <w:t>in</w:t>
        </w:r>
        <w:r>
          <w:rPr>
            <w:rFonts w:ascii="Times New Roman"/>
            <w:color w:val="626262"/>
            <w:sz w:val="20"/>
          </w:rPr>
          <w:t>e</w:t>
        </w:r>
        <w:r>
          <w:rPr>
            <w:rFonts w:ascii="Times New Roman"/>
            <w:color w:val="494949"/>
            <w:sz w:val="20"/>
          </w:rPr>
          <w:t>t.net</w:t>
        </w:r>
        <w:r>
          <w:rPr>
            <w:rFonts w:ascii="Times New Roman"/>
            <w:color w:val="626262"/>
            <w:sz w:val="20"/>
          </w:rPr>
          <w:t>.</w:t>
        </w:r>
        <w:r>
          <w:rPr>
            <w:rFonts w:ascii="Times New Roman"/>
            <w:color w:val="494949"/>
            <w:sz w:val="20"/>
          </w:rPr>
          <w:t>au</w:t>
        </w:r>
      </w:hyperlink>
    </w:p>
    <w:p>
      <w:pPr>
        <w:spacing w:before="116"/>
        <w:ind w:left="150" w:right="0" w:firstLine="0"/>
        <w:jc w:val="left"/>
        <w:rPr>
          <w:rFonts w:ascii="Times New Roman"/>
          <w:sz w:val="19"/>
        </w:rPr>
      </w:pPr>
      <w:r>
        <w:rPr/>
        <w:br w:type="column"/>
      </w:r>
      <w:r>
        <w:rPr>
          <w:rFonts w:ascii="Times New Roman"/>
          <w:color w:val="494949"/>
          <w:sz w:val="19"/>
        </w:rPr>
        <w:t>MINDARIE WA 603</w:t>
      </w:r>
      <w:r>
        <w:rPr>
          <w:rFonts w:ascii="Times New Roman"/>
          <w:color w:val="626262"/>
          <w:sz w:val="19"/>
        </w:rPr>
        <w:t>0</w:t>
      </w:r>
    </w:p>
    <w:p>
      <w:pPr>
        <w:pStyle w:val="BodyText"/>
        <w:spacing w:before="7"/>
        <w:rPr>
          <w:rFonts w:ascii="Times New Roman"/>
          <w:sz w:val="18"/>
        </w:rPr>
      </w:pPr>
    </w:p>
    <w:p>
      <w:pPr>
        <w:spacing w:line="228" w:lineRule="exact" w:before="0"/>
        <w:ind w:left="149" w:right="0" w:firstLine="0"/>
        <w:jc w:val="left"/>
        <w:rPr>
          <w:rFonts w:ascii="Times New Roman"/>
          <w:sz w:val="20"/>
        </w:rPr>
      </w:pPr>
      <w:r>
        <w:rPr>
          <w:rFonts w:ascii="Times New Roman"/>
          <w:color w:val="494949"/>
          <w:w w:val="105"/>
          <w:sz w:val="20"/>
        </w:rPr>
        <w:t>PO BOX20l7</w:t>
      </w:r>
    </w:p>
    <w:p>
      <w:pPr>
        <w:spacing w:line="228" w:lineRule="exact" w:before="0"/>
        <w:ind w:left="145" w:right="0" w:firstLine="0"/>
        <w:jc w:val="left"/>
        <w:rPr>
          <w:rFonts w:ascii="Times New Roman"/>
          <w:sz w:val="20"/>
        </w:rPr>
      </w:pPr>
      <w:r>
        <w:rPr>
          <w:rFonts w:ascii="Times New Roman"/>
          <w:color w:val="626262"/>
          <w:sz w:val="20"/>
        </w:rPr>
        <w:t>C</w:t>
      </w:r>
      <w:r>
        <w:rPr>
          <w:rFonts w:ascii="Times New Roman"/>
          <w:color w:val="494949"/>
          <w:sz w:val="20"/>
        </w:rPr>
        <w:t>LARKSON WA 60</w:t>
      </w:r>
      <w:r>
        <w:rPr>
          <w:rFonts w:ascii="Times New Roman"/>
          <w:color w:val="626262"/>
          <w:sz w:val="20"/>
        </w:rPr>
        <w:t>3</w:t>
      </w:r>
      <w:r>
        <w:rPr>
          <w:rFonts w:ascii="Times New Roman"/>
          <w:color w:val="7B7B7B"/>
          <w:sz w:val="20"/>
        </w:rPr>
        <w:t>0</w:t>
      </w:r>
    </w:p>
    <w:p>
      <w:pPr>
        <w:spacing w:after="0" w:line="228" w:lineRule="exact"/>
        <w:jc w:val="left"/>
        <w:rPr>
          <w:rFonts w:ascii="Times New Roman"/>
          <w:sz w:val="20"/>
        </w:rPr>
        <w:sectPr>
          <w:type w:val="continuous"/>
          <w:pgSz w:w="11910" w:h="16840"/>
          <w:pgMar w:top="1580" w:bottom="280" w:left="480" w:right="380"/>
          <w:cols w:num="2" w:equalWidth="0">
            <w:col w:w="2944" w:space="5800"/>
            <w:col w:w="2306"/>
          </w:cols>
        </w:sectPr>
      </w:pPr>
    </w:p>
    <w:p>
      <w:pPr>
        <w:pStyle w:val="BodyText"/>
        <w:rPr>
          <w:rFonts w:ascii="Times New Roman"/>
          <w:sz w:val="12"/>
        </w:rPr>
      </w:pPr>
    </w:p>
    <w:p>
      <w:pPr>
        <w:pStyle w:val="BodyText"/>
        <w:spacing w:line="40" w:lineRule="exact"/>
        <w:ind w:left="115"/>
        <w:rPr>
          <w:rFonts w:ascii="Times New Roman"/>
          <w:sz w:val="4"/>
        </w:rPr>
      </w:pPr>
      <w:r>
        <w:rPr>
          <w:rFonts w:ascii="Times New Roman"/>
          <w:position w:val="0"/>
          <w:sz w:val="4"/>
        </w:rPr>
        <w:pict>
          <v:group style="width:539.3pt;height:1.95pt;mso-position-horizontal-relative:char;mso-position-vertical-relative:line" coordorigin="0,0" coordsize="10786,39">
            <v:line style="position:absolute" from="0,19" to="10786,19" stroked="true" strokeweight="1.92212pt" strokecolor="#000000">
              <v:stroke dashstyle="solid"/>
            </v:line>
          </v:group>
        </w:pict>
      </w:r>
      <w:r>
        <w:rPr>
          <w:rFonts w:ascii="Times New Roman"/>
          <w:position w:val="0"/>
          <w:sz w:val="4"/>
        </w:rPr>
      </w:r>
    </w:p>
    <w:p>
      <w:pPr>
        <w:spacing w:before="72"/>
        <w:ind w:left="1094" w:right="0" w:firstLine="0"/>
        <w:jc w:val="both"/>
        <w:rPr>
          <w:b/>
          <w:sz w:val="23"/>
        </w:rPr>
      </w:pPr>
      <w:r>
        <w:rPr>
          <w:b/>
          <w:color w:val="1D1D1D"/>
          <w:w w:val="105"/>
          <w:sz w:val="23"/>
        </w:rPr>
        <w:t>PEOPLE WITH DISABILITIES (WA) INC</w:t>
      </w:r>
    </w:p>
    <w:p>
      <w:pPr>
        <w:pStyle w:val="BodyText"/>
        <w:spacing w:before="3"/>
        <w:rPr>
          <w:b/>
          <w:sz w:val="26"/>
        </w:rPr>
      </w:pPr>
    </w:p>
    <w:p>
      <w:pPr>
        <w:spacing w:line="252" w:lineRule="auto" w:before="0"/>
        <w:ind w:left="1094" w:right="3291" w:firstLine="1"/>
        <w:jc w:val="left"/>
        <w:rPr>
          <w:b/>
          <w:sz w:val="23"/>
        </w:rPr>
      </w:pPr>
      <w:r>
        <w:rPr>
          <w:b/>
          <w:color w:val="1D1D1D"/>
          <w:w w:val="105"/>
          <w:sz w:val="23"/>
        </w:rPr>
        <w:t>INDEPENDENT AUDIT REPORT TO THE MEMBERS OF PEOPLE WITH DISABILITIES (WA) INC</w:t>
      </w:r>
    </w:p>
    <w:p>
      <w:pPr>
        <w:pStyle w:val="BodyText"/>
        <w:rPr>
          <w:b/>
          <w:sz w:val="26"/>
        </w:rPr>
      </w:pPr>
    </w:p>
    <w:p>
      <w:pPr>
        <w:spacing w:before="217"/>
        <w:ind w:left="1103" w:right="0" w:firstLine="0"/>
        <w:jc w:val="both"/>
        <w:rPr>
          <w:b/>
          <w:sz w:val="21"/>
        </w:rPr>
      </w:pPr>
      <w:r>
        <w:rPr>
          <w:b/>
          <w:color w:val="1D1D1D"/>
          <w:w w:val="105"/>
          <w:sz w:val="21"/>
        </w:rPr>
        <w:t>Scope</w:t>
      </w:r>
    </w:p>
    <w:p>
      <w:pPr>
        <w:pStyle w:val="BodyText"/>
        <w:spacing w:before="10"/>
        <w:rPr>
          <w:b/>
          <w:sz w:val="22"/>
        </w:rPr>
      </w:pPr>
    </w:p>
    <w:p>
      <w:pPr>
        <w:spacing w:before="0"/>
        <w:ind w:left="1106" w:right="0" w:firstLine="0"/>
        <w:jc w:val="both"/>
        <w:rPr>
          <w:sz w:val="21"/>
        </w:rPr>
      </w:pPr>
      <w:r>
        <w:rPr>
          <w:color w:val="1D1D1D"/>
          <w:w w:val="105"/>
          <w:sz w:val="21"/>
        </w:rPr>
        <w:t>The financial report and committee's responsibility</w:t>
      </w:r>
      <w:r>
        <w:rPr>
          <w:color w:val="494949"/>
          <w:w w:val="105"/>
          <w:sz w:val="21"/>
        </w:rPr>
        <w:t>.</w:t>
      </w:r>
    </w:p>
    <w:p>
      <w:pPr>
        <w:pStyle w:val="BodyText"/>
        <w:spacing w:before="8"/>
        <w:rPr>
          <w:sz w:val="23"/>
        </w:rPr>
      </w:pPr>
    </w:p>
    <w:p>
      <w:pPr>
        <w:spacing w:line="254" w:lineRule="auto" w:before="0"/>
        <w:ind w:left="1103" w:right="910" w:firstLine="2"/>
        <w:jc w:val="both"/>
        <w:rPr>
          <w:sz w:val="21"/>
        </w:rPr>
      </w:pPr>
      <w:r>
        <w:rPr>
          <w:color w:val="1D1D1D"/>
          <w:w w:val="105"/>
          <w:sz w:val="21"/>
        </w:rPr>
        <w:t>The financial report comprises the balance sheet</w:t>
      </w:r>
      <w:r>
        <w:rPr>
          <w:color w:val="494949"/>
          <w:w w:val="105"/>
          <w:sz w:val="21"/>
        </w:rPr>
        <w:t>, </w:t>
      </w:r>
      <w:r>
        <w:rPr>
          <w:color w:val="1D1D1D"/>
          <w:w w:val="105"/>
          <w:sz w:val="21"/>
        </w:rPr>
        <w:t>income statement</w:t>
      </w:r>
      <w:r>
        <w:rPr>
          <w:color w:val="494949"/>
          <w:w w:val="105"/>
          <w:sz w:val="21"/>
        </w:rPr>
        <w:t>, </w:t>
      </w:r>
      <w:r>
        <w:rPr>
          <w:color w:val="1D1D1D"/>
          <w:w w:val="105"/>
          <w:sz w:val="21"/>
        </w:rPr>
        <w:t>cash flow statement, accompanying notes to the financial statements and the statement of the committee for People With Disabilities (WA) Inc for the year ended 30 June 2011.</w:t>
      </w:r>
    </w:p>
    <w:p>
      <w:pPr>
        <w:pStyle w:val="BodyText"/>
        <w:spacing w:before="9"/>
        <w:rPr>
          <w:sz w:val="21"/>
        </w:rPr>
      </w:pPr>
    </w:p>
    <w:p>
      <w:pPr>
        <w:spacing w:line="254" w:lineRule="auto" w:before="0"/>
        <w:ind w:left="1107" w:right="886" w:hanging="2"/>
        <w:jc w:val="both"/>
        <w:rPr>
          <w:sz w:val="21"/>
        </w:rPr>
      </w:pPr>
      <w:r>
        <w:rPr>
          <w:color w:val="1D1D1D"/>
          <w:w w:val="105"/>
          <w:sz w:val="21"/>
        </w:rPr>
        <w:t>The committee are responsible for the preparation and the true and fair presentation of the financial report and have determined that the accounting policies used and described  in Note 1 to the financial statements which form part of the financial report are consistent with the financial reporting requirements of the Associations Incorporations Act (WA) and are appropriate to meet the needs of the members. This includes responsibility for the maintenance of adequate accounting records and internal controls that are designed to prevent and detect fraud and error</w:t>
      </w:r>
      <w:r>
        <w:rPr>
          <w:color w:val="494949"/>
          <w:w w:val="105"/>
          <w:sz w:val="21"/>
        </w:rPr>
        <w:t>, </w:t>
      </w:r>
      <w:r>
        <w:rPr>
          <w:color w:val="1D1D1D"/>
          <w:w w:val="105"/>
          <w:sz w:val="21"/>
        </w:rPr>
        <w:t>and for the accounting policies and  accounting estimates inherent in the financial</w:t>
      </w:r>
      <w:r>
        <w:rPr>
          <w:color w:val="1D1D1D"/>
          <w:spacing w:val="17"/>
          <w:w w:val="105"/>
          <w:sz w:val="21"/>
        </w:rPr>
        <w:t> </w:t>
      </w:r>
      <w:r>
        <w:rPr>
          <w:color w:val="1D1D1D"/>
          <w:w w:val="105"/>
          <w:sz w:val="21"/>
        </w:rPr>
        <w:t>report</w:t>
      </w:r>
      <w:r>
        <w:rPr>
          <w:color w:val="626262"/>
          <w:w w:val="105"/>
          <w:sz w:val="21"/>
        </w:rPr>
        <w:t>.</w:t>
      </w:r>
    </w:p>
    <w:p>
      <w:pPr>
        <w:pStyle w:val="BodyText"/>
        <w:spacing w:before="8"/>
        <w:rPr>
          <w:sz w:val="21"/>
        </w:rPr>
      </w:pPr>
    </w:p>
    <w:p>
      <w:pPr>
        <w:spacing w:line="252" w:lineRule="auto" w:before="0"/>
        <w:ind w:left="1116" w:right="878" w:hanging="1"/>
        <w:jc w:val="both"/>
        <w:rPr>
          <w:sz w:val="21"/>
        </w:rPr>
      </w:pPr>
      <w:r>
        <w:rPr>
          <w:color w:val="1D1D1D"/>
          <w:w w:val="105"/>
          <w:sz w:val="21"/>
        </w:rPr>
        <w:t>The financial report has been prepared for distribution to members for the purpose of fulfilling the committees' financial reporting requirements under the Associations Incorporations Act (WA). We disclaim any assumption of responsibility for any reliance on this report or on the financial report to which it relates to any person other than  the members, or for any purpose other than that for which it was</w:t>
      </w:r>
      <w:r>
        <w:rPr>
          <w:color w:val="1D1D1D"/>
          <w:spacing w:val="-20"/>
          <w:w w:val="105"/>
          <w:sz w:val="21"/>
        </w:rPr>
        <w:t> </w:t>
      </w:r>
      <w:r>
        <w:rPr>
          <w:color w:val="1D1D1D"/>
          <w:w w:val="105"/>
          <w:sz w:val="21"/>
        </w:rPr>
        <w:t>prepared</w:t>
      </w:r>
      <w:r>
        <w:rPr>
          <w:color w:val="626262"/>
          <w:w w:val="105"/>
          <w:sz w:val="21"/>
        </w:rPr>
        <w:t>.</w:t>
      </w:r>
    </w:p>
    <w:p>
      <w:pPr>
        <w:pStyle w:val="BodyText"/>
        <w:spacing w:before="7"/>
        <w:rPr>
          <w:sz w:val="22"/>
        </w:rPr>
      </w:pPr>
    </w:p>
    <w:p>
      <w:pPr>
        <w:spacing w:before="1"/>
        <w:ind w:left="1120" w:right="0" w:firstLine="0"/>
        <w:jc w:val="both"/>
        <w:rPr>
          <w:b/>
          <w:sz w:val="21"/>
        </w:rPr>
      </w:pPr>
      <w:r>
        <w:rPr>
          <w:b/>
          <w:color w:val="1D1D1D"/>
          <w:w w:val="105"/>
          <w:sz w:val="21"/>
        </w:rPr>
        <w:t>Audit Approach</w:t>
      </w:r>
    </w:p>
    <w:p>
      <w:pPr>
        <w:pStyle w:val="BodyText"/>
        <w:spacing w:before="9"/>
        <w:rPr>
          <w:b/>
          <w:sz w:val="22"/>
        </w:rPr>
      </w:pPr>
    </w:p>
    <w:p>
      <w:pPr>
        <w:spacing w:line="252" w:lineRule="auto" w:before="1"/>
        <w:ind w:left="1125" w:right="857" w:firstLine="1"/>
        <w:jc w:val="both"/>
        <w:rPr>
          <w:sz w:val="21"/>
        </w:rPr>
      </w:pPr>
      <w:r>
        <w:rPr>
          <w:color w:val="1D1D1D"/>
          <w:w w:val="105"/>
          <w:sz w:val="21"/>
        </w:rPr>
        <w:t>We conducted an independent audit in order to express an opinion to the members of the organisation. Our audit was conducted in accordance with Australian Auditing Standards, in order to provide reasonable assurance whether the </w:t>
      </w:r>
      <w:r>
        <w:rPr>
          <w:color w:val="343434"/>
          <w:w w:val="105"/>
          <w:sz w:val="21"/>
        </w:rPr>
        <w:t>financial </w:t>
      </w:r>
      <w:r>
        <w:rPr>
          <w:color w:val="1D1D1D"/>
          <w:w w:val="105"/>
          <w:sz w:val="21"/>
        </w:rPr>
        <w:t>report is free of material misstatement. The nature of an audit is influenced by factors such as the use  of  professional judgement, selective testing, the inherent </w:t>
      </w:r>
      <w:r>
        <w:rPr>
          <w:color w:val="343434"/>
          <w:w w:val="105"/>
          <w:sz w:val="21"/>
        </w:rPr>
        <w:t>limitations </w:t>
      </w:r>
      <w:r>
        <w:rPr>
          <w:color w:val="1D1D1D"/>
          <w:w w:val="105"/>
          <w:sz w:val="21"/>
        </w:rPr>
        <w:t>of </w:t>
      </w:r>
      <w:r>
        <w:rPr>
          <w:color w:val="343434"/>
          <w:w w:val="105"/>
          <w:sz w:val="21"/>
        </w:rPr>
        <w:t>internal </w:t>
      </w:r>
      <w:r>
        <w:rPr>
          <w:color w:val="1D1D1D"/>
          <w:w w:val="105"/>
          <w:sz w:val="21"/>
        </w:rPr>
        <w:t>control, and the availability of persuasive rather than conclusive evidence</w:t>
      </w:r>
      <w:r>
        <w:rPr>
          <w:color w:val="494949"/>
          <w:w w:val="105"/>
          <w:sz w:val="21"/>
        </w:rPr>
        <w:t>. </w:t>
      </w:r>
      <w:r>
        <w:rPr>
          <w:color w:val="1D1D1D"/>
          <w:w w:val="105"/>
          <w:sz w:val="21"/>
        </w:rPr>
        <w:t>Therefore</w:t>
      </w:r>
      <w:r>
        <w:rPr>
          <w:color w:val="494949"/>
          <w:w w:val="105"/>
          <w:sz w:val="21"/>
        </w:rPr>
        <w:t>, </w:t>
      </w:r>
      <w:r>
        <w:rPr>
          <w:color w:val="1D1D1D"/>
          <w:w w:val="105"/>
          <w:sz w:val="21"/>
        </w:rPr>
        <w:t>an audit cannot guarantee that all material misstatements have been</w:t>
      </w:r>
      <w:r>
        <w:rPr>
          <w:color w:val="1D1D1D"/>
          <w:spacing w:val="11"/>
          <w:w w:val="105"/>
          <w:sz w:val="21"/>
        </w:rPr>
        <w:t> </w:t>
      </w:r>
      <w:r>
        <w:rPr>
          <w:color w:val="1D1D1D"/>
          <w:w w:val="105"/>
          <w:sz w:val="21"/>
        </w:rPr>
        <w:t>detected</w:t>
      </w:r>
      <w:r>
        <w:rPr>
          <w:color w:val="494949"/>
          <w:w w:val="105"/>
          <w:sz w:val="21"/>
        </w:rPr>
        <w:t>.</w:t>
      </w:r>
    </w:p>
    <w:p>
      <w:pPr>
        <w:pStyle w:val="BodyText"/>
        <w:spacing w:before="9"/>
        <w:rPr>
          <w:sz w:val="22"/>
        </w:rPr>
      </w:pPr>
    </w:p>
    <w:p>
      <w:pPr>
        <w:spacing w:line="256" w:lineRule="auto" w:before="0"/>
        <w:ind w:left="1135" w:right="856" w:firstLine="1"/>
        <w:jc w:val="both"/>
        <w:rPr>
          <w:sz w:val="21"/>
        </w:rPr>
      </w:pPr>
      <w:r>
        <w:rPr>
          <w:color w:val="1D1D1D"/>
          <w:w w:val="105"/>
          <w:sz w:val="21"/>
        </w:rPr>
        <w:t>We performed procedures to assess whether in all material respects the financial </w:t>
      </w:r>
      <w:r>
        <w:rPr>
          <w:color w:val="343434"/>
          <w:w w:val="105"/>
          <w:sz w:val="21"/>
        </w:rPr>
        <w:t>report </w:t>
      </w:r>
      <w:r>
        <w:rPr>
          <w:color w:val="1D1D1D"/>
          <w:w w:val="105"/>
          <w:sz w:val="21"/>
        </w:rPr>
        <w:t>presents fairly, </w:t>
      </w:r>
      <w:r>
        <w:rPr>
          <w:color w:val="343434"/>
          <w:w w:val="105"/>
          <w:sz w:val="21"/>
        </w:rPr>
        <w:t>in </w:t>
      </w:r>
      <w:r>
        <w:rPr>
          <w:color w:val="1D1D1D"/>
          <w:w w:val="105"/>
          <w:sz w:val="21"/>
        </w:rPr>
        <w:t>accordance with the Associations </w:t>
      </w:r>
      <w:r>
        <w:rPr>
          <w:color w:val="343434"/>
          <w:w w:val="105"/>
          <w:sz w:val="21"/>
        </w:rPr>
        <w:t>Incorporations </w:t>
      </w:r>
      <w:r>
        <w:rPr>
          <w:color w:val="1D1D1D"/>
          <w:w w:val="105"/>
          <w:sz w:val="21"/>
        </w:rPr>
        <w:t>Act (WA)</w:t>
      </w:r>
      <w:r>
        <w:rPr>
          <w:color w:val="494949"/>
          <w:w w:val="105"/>
          <w:sz w:val="21"/>
        </w:rPr>
        <w:t>, </w:t>
      </w:r>
      <w:r>
        <w:rPr>
          <w:color w:val="343434"/>
          <w:w w:val="105"/>
          <w:sz w:val="21"/>
        </w:rPr>
        <w:t>including </w:t>
      </w:r>
      <w:r>
        <w:rPr>
          <w:color w:val="1D1D1D"/>
          <w:w w:val="105"/>
          <w:sz w:val="21"/>
        </w:rPr>
        <w:t>compliance with Accounting Standards and other mandatory financial  reporting </w:t>
      </w:r>
      <w:r>
        <w:rPr>
          <w:color w:val="343434"/>
          <w:w w:val="105"/>
          <w:sz w:val="21"/>
        </w:rPr>
        <w:t>requirements </w:t>
      </w:r>
      <w:r>
        <w:rPr>
          <w:color w:val="1D1D1D"/>
          <w:w w:val="105"/>
          <w:sz w:val="21"/>
        </w:rPr>
        <w:t>in Australia, a view which is consistent with our understanding of the organisation's financial position, and of its performance as </w:t>
      </w:r>
      <w:r>
        <w:rPr>
          <w:color w:val="343434"/>
          <w:w w:val="105"/>
          <w:sz w:val="21"/>
        </w:rPr>
        <w:t>represented </w:t>
      </w:r>
      <w:r>
        <w:rPr>
          <w:color w:val="1D1D1D"/>
          <w:w w:val="105"/>
          <w:sz w:val="21"/>
        </w:rPr>
        <w:t>by the results of </w:t>
      </w:r>
      <w:r>
        <w:rPr>
          <w:color w:val="343434"/>
          <w:w w:val="105"/>
          <w:sz w:val="21"/>
        </w:rPr>
        <w:t>its </w:t>
      </w:r>
      <w:r>
        <w:rPr>
          <w:color w:val="1D1D1D"/>
          <w:w w:val="105"/>
          <w:sz w:val="21"/>
        </w:rPr>
        <w:t>operations and cash</w:t>
      </w:r>
      <w:r>
        <w:rPr>
          <w:color w:val="1D1D1D"/>
          <w:spacing w:val="10"/>
          <w:w w:val="105"/>
          <w:sz w:val="21"/>
        </w:rPr>
        <w:t> </w:t>
      </w:r>
      <w:r>
        <w:rPr>
          <w:color w:val="1D1D1D"/>
          <w:w w:val="105"/>
          <w:sz w:val="21"/>
        </w:rPr>
        <w:t>flows.</w:t>
      </w:r>
    </w:p>
    <w:p>
      <w:pPr>
        <w:spacing w:after="0" w:line="256" w:lineRule="auto"/>
        <w:jc w:val="both"/>
        <w:rPr>
          <w:sz w:val="21"/>
        </w:rPr>
        <w:sectPr>
          <w:type w:val="continuous"/>
          <w:pgSz w:w="11910" w:h="16840"/>
          <w:pgMar w:top="1580" w:bottom="280" w:left="480" w:right="380"/>
        </w:sectPr>
      </w:pPr>
    </w:p>
    <w:p>
      <w:pPr>
        <w:pStyle w:val="BodyText"/>
        <w:rPr>
          <w:sz w:val="22"/>
        </w:rPr>
      </w:pPr>
    </w:p>
    <w:p>
      <w:pPr>
        <w:pStyle w:val="BodyText"/>
        <w:rPr>
          <w:sz w:val="22"/>
        </w:rPr>
      </w:pPr>
    </w:p>
    <w:p>
      <w:pPr>
        <w:pStyle w:val="BodyText"/>
        <w:rPr>
          <w:sz w:val="22"/>
        </w:rPr>
      </w:pPr>
    </w:p>
    <w:p>
      <w:pPr>
        <w:pStyle w:val="BodyText"/>
        <w:rPr>
          <w:sz w:val="18"/>
        </w:rPr>
      </w:pPr>
    </w:p>
    <w:p>
      <w:pPr>
        <w:spacing w:line="224" w:lineRule="exact" w:before="0"/>
        <w:ind w:left="184" w:right="0" w:firstLine="0"/>
        <w:jc w:val="left"/>
        <w:rPr>
          <w:rFonts w:ascii="Times New Roman"/>
          <w:sz w:val="20"/>
        </w:rPr>
      </w:pPr>
      <w:r>
        <w:rPr>
          <w:rFonts w:ascii="Times New Roman"/>
          <w:color w:val="727272"/>
          <w:w w:val="95"/>
          <w:sz w:val="20"/>
        </w:rPr>
        <w:t>PRINCIPAL</w:t>
      </w:r>
      <w:r>
        <w:rPr>
          <w:rFonts w:ascii="Times New Roman"/>
          <w:color w:val="8C8C8C"/>
          <w:w w:val="95"/>
          <w:sz w:val="20"/>
        </w:rPr>
        <w:t>:</w:t>
      </w:r>
    </w:p>
    <w:p>
      <w:pPr>
        <w:pStyle w:val="Heading1"/>
        <w:ind w:left="184"/>
      </w:pPr>
      <w:r>
        <w:rPr>
          <w:b w:val="0"/>
        </w:rPr>
        <w:br w:type="column"/>
      </w:r>
      <w:r>
        <w:rPr>
          <w:color w:val="727272"/>
          <w:w w:val="105"/>
        </w:rPr>
        <w:t>RAY</w:t>
      </w:r>
      <w:r>
        <w:rPr>
          <w:color w:val="727272"/>
          <w:spacing w:val="-97"/>
          <w:w w:val="105"/>
        </w:rPr>
        <w:t> </w:t>
      </w:r>
      <w:r>
        <w:rPr>
          <w:color w:val="727272"/>
          <w:w w:val="105"/>
        </w:rPr>
        <w:t>WOOLLEY PTY LTD</w:t>
      </w:r>
    </w:p>
    <w:p>
      <w:pPr>
        <w:pStyle w:val="Heading4"/>
        <w:ind w:left="174"/>
      </w:pPr>
      <w:r>
        <w:rPr>
          <w:color w:val="727272"/>
        </w:rPr>
        <w:t>ACCOUNTANTS</w:t>
      </w:r>
    </w:p>
    <w:p>
      <w:pPr>
        <w:pStyle w:val="BodyText"/>
        <w:rPr>
          <w:rFonts w:ascii="Times New Roman"/>
          <w:sz w:val="14"/>
        </w:rPr>
      </w:pPr>
      <w:r>
        <w:rPr/>
        <w:br w:type="column"/>
      </w:r>
      <w:r>
        <w:rPr>
          <w:rFonts w:ascii="Times New Roman"/>
          <w:sz w:val="14"/>
        </w:rPr>
      </w:r>
    </w:p>
    <w:p>
      <w:pPr>
        <w:pStyle w:val="BodyText"/>
        <w:spacing w:before="10"/>
        <w:rPr>
          <w:rFonts w:ascii="Times New Roman"/>
          <w:sz w:val="15"/>
        </w:rPr>
      </w:pPr>
    </w:p>
    <w:p>
      <w:pPr>
        <w:spacing w:before="0"/>
        <w:ind w:left="97" w:right="0" w:firstLine="0"/>
        <w:jc w:val="left"/>
        <w:rPr>
          <w:rFonts w:ascii="Times New Roman"/>
          <w:sz w:val="13"/>
        </w:rPr>
      </w:pPr>
      <w:r>
        <w:rPr>
          <w:rFonts w:ascii="Times New Roman"/>
          <w:color w:val="8C8C8C"/>
          <w:sz w:val="13"/>
        </w:rPr>
        <w:t>i\BN </w:t>
      </w:r>
      <w:r>
        <w:rPr>
          <w:rFonts w:ascii="Times New Roman"/>
          <w:color w:val="9C9C9C"/>
          <w:sz w:val="13"/>
        </w:rPr>
        <w:t>JO Ol </w:t>
      </w:r>
      <w:r>
        <w:rPr>
          <w:rFonts w:ascii="Times New Roman"/>
          <w:color w:val="8C8C8C"/>
          <w:sz w:val="13"/>
        </w:rPr>
        <w:t>227 297</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spacing w:line="104" w:lineRule="exact" w:before="110"/>
        <w:ind w:left="486" w:right="0" w:firstLine="0"/>
        <w:jc w:val="left"/>
        <w:rPr>
          <w:rFonts w:ascii="Times New Roman"/>
          <w:sz w:val="20"/>
        </w:rPr>
      </w:pPr>
      <w:r>
        <w:rPr/>
        <w:pict>
          <v:line style="position:absolute;mso-position-horizontal-relative:page;mso-position-vertical-relative:paragraph;z-index:1576" from="32.683605pt,-2.463105pt" to="570.040545pt,-2.463105pt" stroked="true" strokeweight="2.162385pt" strokecolor="#000000">
            <v:stroke dashstyle="solid"/>
            <w10:wrap type="none"/>
          </v:line>
        </w:pict>
      </w:r>
      <w:r>
        <w:rPr>
          <w:rFonts w:ascii="Times New Roman"/>
          <w:color w:val="727272"/>
          <w:sz w:val="20"/>
        </w:rPr>
        <w:t>19 BAYPORT CIRCUIT</w:t>
      </w:r>
    </w:p>
    <w:p>
      <w:pPr>
        <w:spacing w:after="0" w:line="104" w:lineRule="exact"/>
        <w:jc w:val="left"/>
        <w:rPr>
          <w:rFonts w:ascii="Times New Roman"/>
          <w:sz w:val="20"/>
        </w:rPr>
        <w:sectPr>
          <w:pgSz w:w="11910" w:h="16840"/>
          <w:pgMar w:header="0" w:footer="1209" w:top="640" w:bottom="1400" w:left="480" w:right="380"/>
          <w:cols w:num="3" w:equalWidth="0">
            <w:col w:w="1285" w:space="1223"/>
            <w:col w:w="5888" w:space="40"/>
            <w:col w:w="2614"/>
          </w:cols>
        </w:sectPr>
      </w:pPr>
    </w:p>
    <w:p>
      <w:pPr>
        <w:spacing w:line="211" w:lineRule="exact" w:before="0"/>
        <w:ind w:left="184" w:right="0" w:firstLine="0"/>
        <w:jc w:val="left"/>
        <w:rPr>
          <w:rFonts w:ascii="Times New Roman"/>
          <w:sz w:val="12"/>
        </w:rPr>
      </w:pPr>
      <w:r>
        <w:rPr>
          <w:rFonts w:ascii="Times New Roman"/>
          <w:color w:val="727272"/>
          <w:w w:val="105"/>
          <w:sz w:val="19"/>
        </w:rPr>
        <w:t>RAY WOOLLEY </w:t>
      </w:r>
      <w:r>
        <w:rPr>
          <w:rFonts w:ascii="Times New Roman"/>
          <w:color w:val="8C8C8C"/>
          <w:w w:val="105"/>
          <w:sz w:val="12"/>
        </w:rPr>
        <w:t>F.CA (UK1</w:t>
      </w:r>
      <w:r>
        <w:rPr>
          <w:rFonts w:ascii="Times New Roman"/>
          <w:color w:val="AEAEAE"/>
          <w:w w:val="105"/>
          <w:sz w:val="12"/>
        </w:rPr>
        <w:t>. </w:t>
      </w:r>
      <w:r>
        <w:rPr>
          <w:rFonts w:ascii="Times New Roman"/>
          <w:color w:val="8C8C8C"/>
          <w:w w:val="105"/>
          <w:sz w:val="12"/>
        </w:rPr>
        <w:t>B </w:t>
      </w:r>
      <w:r>
        <w:rPr>
          <w:rFonts w:ascii="Times New Roman"/>
          <w:color w:val="AEAEAE"/>
          <w:w w:val="105"/>
          <w:sz w:val="12"/>
        </w:rPr>
        <w:t>, </w:t>
      </w:r>
      <w:r>
        <w:rPr>
          <w:rFonts w:ascii="Times New Roman"/>
          <w:color w:val="8C8C8C"/>
          <w:w w:val="105"/>
          <w:sz w:val="12"/>
        </w:rPr>
        <w:t>(HonJl</w:t>
      </w:r>
    </w:p>
    <w:p>
      <w:pPr>
        <w:spacing w:line="228" w:lineRule="exact" w:before="137"/>
        <w:ind w:left="184" w:right="0" w:firstLine="0"/>
        <w:jc w:val="left"/>
        <w:rPr>
          <w:b/>
          <w:sz w:val="19"/>
        </w:rPr>
      </w:pPr>
      <w:r>
        <w:rPr>
          <w:rFonts w:ascii="Times New Roman"/>
          <w:color w:val="727272"/>
          <w:sz w:val="20"/>
        </w:rPr>
        <w:t>PHO E</w:t>
      </w:r>
      <w:r>
        <w:rPr>
          <w:rFonts w:ascii="Times New Roman"/>
          <w:color w:val="8C8C8C"/>
          <w:sz w:val="20"/>
        </w:rPr>
        <w:t>: </w:t>
      </w:r>
      <w:r>
        <w:rPr>
          <w:rFonts w:ascii="Times New Roman"/>
          <w:color w:val="727272"/>
          <w:sz w:val="20"/>
        </w:rPr>
        <w:t>0</w:t>
      </w:r>
      <w:r>
        <w:rPr>
          <w:rFonts w:ascii="Times New Roman"/>
          <w:color w:val="8C8C8C"/>
          <w:sz w:val="20"/>
        </w:rPr>
        <w:t>8</w:t>
      </w:r>
      <w:r>
        <w:rPr>
          <w:rFonts w:ascii="Times New Roman"/>
          <w:color w:val="727272"/>
          <w:sz w:val="20"/>
        </w:rPr>
        <w:t>) </w:t>
      </w:r>
      <w:r>
        <w:rPr>
          <w:b/>
          <w:color w:val="727272"/>
          <w:sz w:val="19"/>
        </w:rPr>
        <w:t>9408 5</w:t>
      </w:r>
      <w:r>
        <w:rPr>
          <w:b/>
          <w:color w:val="565656"/>
          <w:sz w:val="19"/>
        </w:rPr>
        <w:t>1</w:t>
      </w:r>
      <w:r>
        <w:rPr>
          <w:b/>
          <w:color w:val="727272"/>
          <w:sz w:val="19"/>
        </w:rPr>
        <w:t>5</w:t>
      </w:r>
    </w:p>
    <w:p>
      <w:pPr>
        <w:tabs>
          <w:tab w:pos="968" w:val="left" w:leader="none"/>
        </w:tabs>
        <w:spacing w:line="223" w:lineRule="exact" w:before="0"/>
        <w:ind w:left="189" w:right="0" w:firstLine="0"/>
        <w:jc w:val="left"/>
        <w:rPr>
          <w:rFonts w:ascii="Times New Roman"/>
          <w:sz w:val="20"/>
        </w:rPr>
      </w:pPr>
      <w:r>
        <w:rPr>
          <w:rFonts w:ascii="Times New Roman"/>
          <w:color w:val="727272"/>
          <w:sz w:val="20"/>
        </w:rPr>
        <w:t>FAX</w:t>
      </w:r>
      <w:r>
        <w:rPr>
          <w:rFonts w:ascii="Times New Roman"/>
          <w:color w:val="8C8C8C"/>
          <w:sz w:val="20"/>
        </w:rPr>
        <w:t>:</w:t>
        <w:tab/>
        <w:t>(</w:t>
      </w:r>
      <w:r>
        <w:rPr>
          <w:rFonts w:ascii="Times New Roman"/>
          <w:color w:val="727272"/>
          <w:sz w:val="20"/>
        </w:rPr>
        <w:t>08) 9408</w:t>
      </w:r>
      <w:r>
        <w:rPr>
          <w:rFonts w:ascii="Times New Roman"/>
          <w:color w:val="727272"/>
          <w:spacing w:val="-14"/>
          <w:sz w:val="20"/>
        </w:rPr>
        <w:t> </w:t>
      </w:r>
      <w:r>
        <w:rPr>
          <w:rFonts w:ascii="Times New Roman"/>
          <w:color w:val="727272"/>
          <w:sz w:val="20"/>
        </w:rPr>
        <w:t>5166</w:t>
      </w:r>
    </w:p>
    <w:p>
      <w:pPr>
        <w:spacing w:line="226" w:lineRule="exact" w:before="0"/>
        <w:ind w:left="184" w:right="0" w:firstLine="0"/>
        <w:jc w:val="left"/>
        <w:rPr>
          <w:rFonts w:ascii="Times New Roman"/>
          <w:sz w:val="20"/>
        </w:rPr>
      </w:pPr>
      <w:r>
        <w:rPr>
          <w:rFonts w:ascii="Times New Roman"/>
          <w:color w:val="727272"/>
          <w:sz w:val="20"/>
        </w:rPr>
        <w:t>E</w:t>
      </w:r>
      <w:r>
        <w:rPr>
          <w:rFonts w:ascii="Times New Roman"/>
          <w:color w:val="8C8C8C"/>
          <w:sz w:val="20"/>
        </w:rPr>
        <w:t>.</w:t>
      </w:r>
      <w:r>
        <w:rPr>
          <w:rFonts w:ascii="Times New Roman"/>
          <w:color w:val="727272"/>
          <w:sz w:val="20"/>
        </w:rPr>
        <w:t>MA lL</w:t>
      </w:r>
      <w:r>
        <w:rPr>
          <w:rFonts w:ascii="Times New Roman"/>
          <w:color w:val="8C8C8C"/>
          <w:sz w:val="20"/>
        </w:rPr>
        <w:t>: </w:t>
      </w:r>
      <w:hyperlink r:id="rId41">
        <w:r>
          <w:rPr>
            <w:rFonts w:ascii="Times New Roman"/>
            <w:color w:val="727272"/>
            <w:sz w:val="20"/>
          </w:rPr>
          <w:t>rayw</w:t>
        </w:r>
        <w:r>
          <w:rPr>
            <w:rFonts w:ascii="Times New Roman"/>
            <w:color w:val="8C8C8C"/>
            <w:sz w:val="20"/>
          </w:rPr>
          <w:t>@</w:t>
        </w:r>
        <w:r>
          <w:rPr>
            <w:rFonts w:ascii="Times New Roman"/>
            <w:color w:val="727272"/>
            <w:sz w:val="20"/>
          </w:rPr>
          <w:t>iinet.net.au</w:t>
        </w:r>
      </w:hyperlink>
    </w:p>
    <w:p>
      <w:pPr>
        <w:spacing w:before="131"/>
        <w:ind w:left="184" w:right="0" w:firstLine="0"/>
        <w:jc w:val="left"/>
        <w:rPr>
          <w:rFonts w:ascii="Times New Roman"/>
          <w:sz w:val="19"/>
        </w:rPr>
      </w:pPr>
      <w:r>
        <w:rPr/>
        <w:br w:type="column"/>
      </w:r>
      <w:r>
        <w:rPr>
          <w:rFonts w:ascii="Times New Roman"/>
          <w:color w:val="727272"/>
          <w:w w:val="105"/>
          <w:sz w:val="19"/>
        </w:rPr>
        <w:t>MlNDARIE WA 6030</w:t>
      </w:r>
    </w:p>
    <w:p>
      <w:pPr>
        <w:pStyle w:val="BodyText"/>
        <w:spacing w:before="3"/>
        <w:rPr>
          <w:rFonts w:ascii="Times New Roman"/>
          <w:sz w:val="18"/>
        </w:rPr>
      </w:pPr>
    </w:p>
    <w:p>
      <w:pPr>
        <w:spacing w:line="226" w:lineRule="exact" w:before="0"/>
        <w:ind w:left="188" w:right="0" w:firstLine="0"/>
        <w:jc w:val="left"/>
        <w:rPr>
          <w:rFonts w:ascii="Times New Roman"/>
          <w:sz w:val="20"/>
        </w:rPr>
      </w:pPr>
      <w:r>
        <w:rPr>
          <w:rFonts w:ascii="Times New Roman"/>
          <w:color w:val="727272"/>
          <w:sz w:val="20"/>
        </w:rPr>
        <w:t>PO BOX 2017</w:t>
      </w:r>
    </w:p>
    <w:p>
      <w:pPr>
        <w:spacing w:line="226" w:lineRule="exact" w:before="0"/>
        <w:ind w:left="184" w:right="0" w:firstLine="0"/>
        <w:jc w:val="left"/>
        <w:rPr>
          <w:rFonts w:ascii="Times New Roman"/>
          <w:sz w:val="20"/>
        </w:rPr>
      </w:pPr>
      <w:r>
        <w:rPr>
          <w:rFonts w:ascii="Times New Roman"/>
          <w:color w:val="727272"/>
          <w:sz w:val="20"/>
        </w:rPr>
        <w:t>CLARKSON WA 603</w:t>
      </w:r>
    </w:p>
    <w:p>
      <w:pPr>
        <w:spacing w:after="0" w:line="226" w:lineRule="exact"/>
        <w:jc w:val="left"/>
        <w:rPr>
          <w:rFonts w:ascii="Times New Roman"/>
          <w:sz w:val="20"/>
        </w:rPr>
        <w:sectPr>
          <w:type w:val="continuous"/>
          <w:pgSz w:w="11910" w:h="16840"/>
          <w:pgMar w:top="1580" w:bottom="280" w:left="480" w:right="380"/>
          <w:cols w:num="2" w:equalWidth="0">
            <w:col w:w="2970" w:space="5774"/>
            <w:col w:w="2306"/>
          </w:cols>
        </w:sectPr>
      </w:pPr>
    </w:p>
    <w:p>
      <w:pPr>
        <w:pStyle w:val="BodyText"/>
        <w:spacing w:before="5"/>
        <w:rPr>
          <w:rFonts w:ascii="Times New Roman"/>
          <w:sz w:val="12"/>
        </w:rPr>
      </w:pPr>
    </w:p>
    <w:p>
      <w:pPr>
        <w:pStyle w:val="BodyText"/>
        <w:spacing w:line="40" w:lineRule="exact"/>
        <w:ind w:left="134"/>
        <w:rPr>
          <w:rFonts w:ascii="Times New Roman"/>
          <w:sz w:val="4"/>
        </w:rPr>
      </w:pPr>
      <w:r>
        <w:rPr>
          <w:rFonts w:ascii="Times New Roman"/>
          <w:position w:val="0"/>
          <w:sz w:val="4"/>
        </w:rPr>
        <w:pict>
          <v:group style="width:539.050pt;height:1.95pt;mso-position-horizontal-relative:char;mso-position-vertical-relative:line" coordorigin="0,0" coordsize="10781,39">
            <v:line style="position:absolute" from="0,19" to="10781,19" stroked="true" strokeweight="1.92212pt" strokecolor="#000000">
              <v:stroke dashstyle="solid"/>
            </v:line>
          </v:group>
        </w:pict>
      </w:r>
      <w:r>
        <w:rPr>
          <w:rFonts w:ascii="Times New Roman"/>
          <w:position w:val="0"/>
          <w:sz w:val="4"/>
        </w:rPr>
      </w:r>
    </w:p>
    <w:p>
      <w:pPr>
        <w:spacing w:before="67"/>
        <w:ind w:left="1108" w:right="0" w:firstLine="0"/>
        <w:jc w:val="left"/>
        <w:rPr>
          <w:b/>
          <w:sz w:val="23"/>
        </w:rPr>
      </w:pPr>
      <w:r>
        <w:rPr>
          <w:b/>
          <w:color w:val="242424"/>
          <w:w w:val="105"/>
          <w:sz w:val="23"/>
        </w:rPr>
        <w:t>PEOPLE WITH DISABILITIES (WA) INC</w:t>
      </w:r>
    </w:p>
    <w:p>
      <w:pPr>
        <w:pStyle w:val="BodyText"/>
        <w:spacing w:before="3"/>
        <w:rPr>
          <w:b/>
          <w:sz w:val="26"/>
        </w:rPr>
      </w:pPr>
    </w:p>
    <w:p>
      <w:pPr>
        <w:spacing w:line="252" w:lineRule="auto" w:before="0"/>
        <w:ind w:left="1108" w:right="3291" w:firstLine="1"/>
        <w:jc w:val="left"/>
        <w:rPr>
          <w:b/>
          <w:sz w:val="23"/>
        </w:rPr>
      </w:pPr>
      <w:r>
        <w:rPr>
          <w:b/>
          <w:color w:val="242424"/>
          <w:w w:val="105"/>
          <w:sz w:val="23"/>
        </w:rPr>
        <w:t>INDEPENDENT AUDIT REPORT TO THE MEMBERS OF PEOPLE WITH DISABILITIES (WA) INC</w:t>
      </w:r>
    </w:p>
    <w:p>
      <w:pPr>
        <w:spacing w:line="262" w:lineRule="exact" w:before="0"/>
        <w:ind w:left="1115" w:right="0" w:firstLine="0"/>
        <w:jc w:val="left"/>
        <w:rPr>
          <w:b/>
          <w:sz w:val="23"/>
        </w:rPr>
      </w:pPr>
      <w:r>
        <w:rPr>
          <w:b/>
          <w:color w:val="242424"/>
          <w:w w:val="105"/>
          <w:sz w:val="23"/>
        </w:rPr>
        <w:t>continued</w:t>
      </w:r>
    </w:p>
    <w:p>
      <w:pPr>
        <w:pStyle w:val="BodyText"/>
        <w:rPr>
          <w:b/>
          <w:sz w:val="26"/>
        </w:rPr>
      </w:pPr>
    </w:p>
    <w:p>
      <w:pPr>
        <w:pStyle w:val="BodyText"/>
        <w:rPr>
          <w:b/>
          <w:sz w:val="26"/>
        </w:rPr>
      </w:pPr>
    </w:p>
    <w:p>
      <w:pPr>
        <w:spacing w:before="185"/>
        <w:ind w:left="1118" w:right="0" w:firstLine="0"/>
        <w:jc w:val="left"/>
        <w:rPr>
          <w:sz w:val="21"/>
        </w:rPr>
      </w:pPr>
      <w:r>
        <w:rPr>
          <w:color w:val="242424"/>
          <w:w w:val="105"/>
          <w:sz w:val="21"/>
        </w:rPr>
        <w:t>We formed our audit opinion on the basis of these procedures</w:t>
      </w:r>
      <w:r>
        <w:rPr>
          <w:color w:val="565656"/>
          <w:w w:val="105"/>
          <w:sz w:val="21"/>
        </w:rPr>
        <w:t>, </w:t>
      </w:r>
      <w:r>
        <w:rPr>
          <w:color w:val="242424"/>
          <w:w w:val="105"/>
          <w:sz w:val="21"/>
        </w:rPr>
        <w:t>which included</w:t>
      </w:r>
      <w:r>
        <w:rPr>
          <w:color w:val="727272"/>
          <w:w w:val="105"/>
          <w:sz w:val="21"/>
        </w:rPr>
        <w:t>:</w:t>
      </w:r>
    </w:p>
    <w:p>
      <w:pPr>
        <w:pStyle w:val="BodyText"/>
        <w:spacing w:before="8"/>
        <w:rPr>
          <w:sz w:val="23"/>
        </w:rPr>
      </w:pPr>
    </w:p>
    <w:p>
      <w:pPr>
        <w:spacing w:line="252" w:lineRule="auto" w:before="0"/>
        <w:ind w:left="1848" w:right="832" w:hanging="1"/>
        <w:jc w:val="left"/>
        <w:rPr>
          <w:sz w:val="21"/>
        </w:rPr>
      </w:pPr>
      <w:r>
        <w:rPr>
          <w:color w:val="242424"/>
          <w:w w:val="105"/>
          <w:sz w:val="21"/>
        </w:rPr>
        <w:t>examining</w:t>
      </w:r>
      <w:r>
        <w:rPr>
          <w:color w:val="414141"/>
          <w:w w:val="105"/>
          <w:sz w:val="21"/>
        </w:rPr>
        <w:t>, </w:t>
      </w:r>
      <w:r>
        <w:rPr>
          <w:color w:val="242424"/>
          <w:w w:val="105"/>
          <w:sz w:val="21"/>
        </w:rPr>
        <w:t>on a test basis, information to provide evidence supporting the amoun</w:t>
      </w:r>
      <w:r>
        <w:rPr>
          <w:color w:val="414141"/>
          <w:w w:val="105"/>
          <w:sz w:val="21"/>
        </w:rPr>
        <w:t>t</w:t>
      </w:r>
      <w:r>
        <w:rPr>
          <w:color w:val="242424"/>
          <w:w w:val="105"/>
          <w:sz w:val="21"/>
        </w:rPr>
        <w:t>s and disclosures in the financial report</w:t>
      </w:r>
      <w:r>
        <w:rPr>
          <w:color w:val="565656"/>
          <w:w w:val="105"/>
          <w:sz w:val="21"/>
        </w:rPr>
        <w:t>, </w:t>
      </w:r>
      <w:r>
        <w:rPr>
          <w:color w:val="242424"/>
          <w:w w:val="105"/>
          <w:sz w:val="21"/>
        </w:rPr>
        <w:t>and</w:t>
      </w:r>
    </w:p>
    <w:p>
      <w:pPr>
        <w:spacing w:line="252" w:lineRule="auto" w:before="7"/>
        <w:ind w:left="1842" w:right="832" w:firstLine="0"/>
        <w:jc w:val="left"/>
        <w:rPr>
          <w:sz w:val="21"/>
        </w:rPr>
      </w:pPr>
      <w:r>
        <w:rPr>
          <w:color w:val="242424"/>
          <w:w w:val="105"/>
          <w:sz w:val="21"/>
        </w:rPr>
        <w:t>assessing the approp</w:t>
      </w:r>
      <w:r>
        <w:rPr>
          <w:color w:val="414141"/>
          <w:w w:val="105"/>
          <w:sz w:val="21"/>
        </w:rPr>
        <w:t>r</w:t>
      </w:r>
      <w:r>
        <w:rPr>
          <w:color w:val="242424"/>
          <w:w w:val="105"/>
          <w:sz w:val="21"/>
        </w:rPr>
        <w:t>iateness of the accounting policies and d</w:t>
      </w:r>
      <w:r>
        <w:rPr>
          <w:color w:val="414141"/>
          <w:w w:val="105"/>
          <w:sz w:val="21"/>
        </w:rPr>
        <w:t>i</w:t>
      </w:r>
      <w:r>
        <w:rPr>
          <w:color w:val="242424"/>
          <w:w w:val="105"/>
          <w:sz w:val="21"/>
        </w:rPr>
        <w:t>sclosures used and the reasonableness of the significant accounting estimates made by the committee</w:t>
      </w:r>
      <w:r>
        <w:rPr>
          <w:color w:val="727272"/>
          <w:w w:val="105"/>
          <w:sz w:val="21"/>
        </w:rPr>
        <w:t>.</w:t>
      </w:r>
    </w:p>
    <w:p>
      <w:pPr>
        <w:pStyle w:val="BodyText"/>
        <w:spacing w:before="11"/>
        <w:rPr>
          <w:sz w:val="21"/>
        </w:rPr>
      </w:pPr>
    </w:p>
    <w:p>
      <w:pPr>
        <w:spacing w:line="252" w:lineRule="auto" w:before="0"/>
        <w:ind w:left="1113" w:right="883" w:firstLine="4"/>
        <w:jc w:val="both"/>
        <w:rPr>
          <w:sz w:val="21"/>
        </w:rPr>
      </w:pPr>
      <w:r>
        <w:rPr>
          <w:color w:val="242424"/>
          <w:w w:val="105"/>
          <w:sz w:val="21"/>
        </w:rPr>
        <w:t>While we considered the effectiveness of the management </w:t>
      </w:r>
      <w:r>
        <w:rPr>
          <w:color w:val="727272"/>
          <w:w w:val="105"/>
          <w:sz w:val="21"/>
        </w:rPr>
        <w:t>'</w:t>
      </w:r>
      <w:r>
        <w:rPr>
          <w:color w:val="242424"/>
          <w:w w:val="105"/>
          <w:sz w:val="21"/>
        </w:rPr>
        <w:t>s internal controls over financial reporting when determining the nature and extent of our procedures, our audit was not designed to provide assurance on internal controls</w:t>
      </w:r>
      <w:r>
        <w:rPr>
          <w:color w:val="565656"/>
          <w:w w:val="105"/>
          <w:sz w:val="21"/>
        </w:rPr>
        <w:t>.</w:t>
      </w:r>
    </w:p>
    <w:p>
      <w:pPr>
        <w:pStyle w:val="BodyText"/>
        <w:spacing w:before="5"/>
        <w:rPr>
          <w:sz w:val="22"/>
        </w:rPr>
      </w:pPr>
    </w:p>
    <w:p>
      <w:pPr>
        <w:spacing w:before="0"/>
        <w:ind w:left="1115" w:right="0" w:firstLine="0"/>
        <w:jc w:val="left"/>
        <w:rPr>
          <w:b/>
          <w:sz w:val="21"/>
        </w:rPr>
      </w:pPr>
      <w:r>
        <w:rPr>
          <w:b/>
          <w:color w:val="242424"/>
          <w:w w:val="105"/>
          <w:sz w:val="21"/>
        </w:rPr>
        <w:t>Independence</w:t>
      </w:r>
    </w:p>
    <w:p>
      <w:pPr>
        <w:pStyle w:val="BodyText"/>
        <w:spacing w:before="6"/>
        <w:rPr>
          <w:b/>
        </w:rPr>
      </w:pPr>
    </w:p>
    <w:p>
      <w:pPr>
        <w:spacing w:line="242" w:lineRule="auto" w:before="0"/>
        <w:ind w:left="1121" w:right="832" w:hanging="6"/>
        <w:jc w:val="left"/>
        <w:rPr>
          <w:sz w:val="21"/>
        </w:rPr>
      </w:pPr>
      <w:r>
        <w:rPr>
          <w:color w:val="242424"/>
          <w:w w:val="105"/>
          <w:sz w:val="21"/>
        </w:rPr>
        <w:t>In conducting our audit, we followed applicable independence requirements of Australian professional ethical pronouncements.</w:t>
      </w:r>
    </w:p>
    <w:p>
      <w:pPr>
        <w:pStyle w:val="BodyText"/>
        <w:spacing w:before="2"/>
        <w:rPr>
          <w:sz w:val="23"/>
        </w:rPr>
      </w:pPr>
    </w:p>
    <w:p>
      <w:pPr>
        <w:spacing w:before="0"/>
        <w:ind w:left="1125" w:right="0" w:firstLine="0"/>
        <w:jc w:val="left"/>
        <w:rPr>
          <w:b/>
          <w:sz w:val="21"/>
        </w:rPr>
      </w:pPr>
      <w:r>
        <w:rPr>
          <w:b/>
          <w:color w:val="242424"/>
          <w:w w:val="105"/>
          <w:sz w:val="21"/>
        </w:rPr>
        <w:t>Audit Opinion</w:t>
      </w:r>
    </w:p>
    <w:p>
      <w:pPr>
        <w:pStyle w:val="BodyText"/>
        <w:spacing w:before="2"/>
        <w:rPr>
          <w:b/>
        </w:rPr>
      </w:pPr>
    </w:p>
    <w:p>
      <w:pPr>
        <w:spacing w:line="249" w:lineRule="auto" w:before="0"/>
        <w:ind w:left="1118" w:right="875" w:firstLine="1"/>
        <w:jc w:val="both"/>
        <w:rPr>
          <w:sz w:val="21"/>
        </w:rPr>
      </w:pPr>
      <w:r>
        <w:rPr/>
        <w:drawing>
          <wp:anchor distT="0" distB="0" distL="0" distR="0" allowOverlap="1" layoutInCell="1" locked="0" behindDoc="0" simplePos="0" relativeHeight="1552">
            <wp:simplePos x="0" y="0"/>
            <wp:positionH relativeFrom="page">
              <wp:posOffset>3015447</wp:posOffset>
            </wp:positionH>
            <wp:positionV relativeFrom="paragraph">
              <wp:posOffset>1028285</wp:posOffset>
            </wp:positionV>
            <wp:extent cx="2002158" cy="1196135"/>
            <wp:effectExtent l="0" t="0" r="0" b="0"/>
            <wp:wrapNone/>
            <wp:docPr id="9" name="image22.jpeg" descr=""/>
            <wp:cNvGraphicFramePr>
              <a:graphicFrameLocks noChangeAspect="1"/>
            </wp:cNvGraphicFramePr>
            <a:graphic>
              <a:graphicData uri="http://schemas.openxmlformats.org/drawingml/2006/picture">
                <pic:pic>
                  <pic:nvPicPr>
                    <pic:cNvPr id="10" name="image22.jpeg"/>
                    <pic:cNvPicPr/>
                  </pic:nvPicPr>
                  <pic:blipFill>
                    <a:blip r:embed="rId42" cstate="print"/>
                    <a:stretch>
                      <a:fillRect/>
                    </a:stretch>
                  </pic:blipFill>
                  <pic:spPr>
                    <a:xfrm>
                      <a:off x="0" y="0"/>
                      <a:ext cx="2002158" cy="1196135"/>
                    </a:xfrm>
                    <a:prstGeom prst="rect">
                      <a:avLst/>
                    </a:prstGeom>
                  </pic:spPr>
                </pic:pic>
              </a:graphicData>
            </a:graphic>
          </wp:anchor>
        </w:drawing>
      </w:r>
      <w:r>
        <w:rPr>
          <w:color w:val="242424"/>
          <w:w w:val="105"/>
          <w:sz w:val="21"/>
        </w:rPr>
        <w:t>In our opinion</w:t>
      </w:r>
      <w:r>
        <w:rPr>
          <w:color w:val="414141"/>
          <w:w w:val="105"/>
          <w:sz w:val="21"/>
        </w:rPr>
        <w:t>, </w:t>
      </w:r>
      <w:r>
        <w:rPr>
          <w:color w:val="242424"/>
          <w:w w:val="105"/>
          <w:sz w:val="21"/>
        </w:rPr>
        <w:t>the financial report of People With Disabilities (WA) Inc presents a true and fair view in accordance with the accounting policies descr</w:t>
      </w:r>
      <w:r>
        <w:rPr>
          <w:color w:val="414141"/>
          <w:w w:val="105"/>
          <w:sz w:val="21"/>
        </w:rPr>
        <w:t>i</w:t>
      </w:r>
      <w:r>
        <w:rPr>
          <w:color w:val="242424"/>
          <w:w w:val="105"/>
          <w:sz w:val="21"/>
        </w:rPr>
        <w:t>bed in Note </w:t>
      </w:r>
      <w:r>
        <w:rPr>
          <w:rFonts w:ascii="Times New Roman"/>
          <w:color w:val="242424"/>
          <w:w w:val="105"/>
          <w:sz w:val="21"/>
        </w:rPr>
        <w:t>1 </w:t>
      </w:r>
      <w:r>
        <w:rPr>
          <w:color w:val="242424"/>
          <w:w w:val="105"/>
          <w:sz w:val="21"/>
        </w:rPr>
        <w:t>to the financial statements</w:t>
      </w:r>
      <w:r>
        <w:rPr>
          <w:color w:val="414141"/>
          <w:w w:val="105"/>
          <w:sz w:val="21"/>
        </w:rPr>
        <w:t>, </w:t>
      </w:r>
      <w:r>
        <w:rPr>
          <w:color w:val="242424"/>
          <w:w w:val="105"/>
          <w:sz w:val="21"/>
        </w:rPr>
        <w:t>of the financial position of People With Disabilities (WA) Inc as at </w:t>
      </w:r>
      <w:r>
        <w:rPr>
          <w:rFonts w:ascii="Times New Roman"/>
          <w:color w:val="242424"/>
          <w:w w:val="105"/>
          <w:sz w:val="22"/>
        </w:rPr>
        <w:t>30 </w:t>
      </w:r>
      <w:r>
        <w:rPr>
          <w:color w:val="242424"/>
          <w:w w:val="105"/>
          <w:sz w:val="21"/>
        </w:rPr>
        <w:t>June </w:t>
      </w:r>
      <w:r>
        <w:rPr>
          <w:rFonts w:ascii="Times New Roman"/>
          <w:color w:val="242424"/>
          <w:w w:val="105"/>
          <w:sz w:val="22"/>
        </w:rPr>
        <w:t>20</w:t>
      </w:r>
      <w:r>
        <w:rPr>
          <w:rFonts w:ascii="Times New Roman"/>
          <w:color w:val="414141"/>
          <w:w w:val="105"/>
          <w:sz w:val="22"/>
        </w:rPr>
        <w:t>1</w:t>
      </w:r>
      <w:r>
        <w:rPr>
          <w:rFonts w:ascii="Times New Roman"/>
          <w:color w:val="242424"/>
          <w:w w:val="105"/>
          <w:sz w:val="22"/>
        </w:rPr>
        <w:t>1 </w:t>
      </w:r>
      <w:r>
        <w:rPr>
          <w:color w:val="242424"/>
          <w:w w:val="105"/>
          <w:sz w:val="21"/>
        </w:rPr>
        <w:t>and the results of its operations and </w:t>
      </w:r>
      <w:r>
        <w:rPr>
          <w:color w:val="414141"/>
          <w:w w:val="105"/>
          <w:sz w:val="21"/>
        </w:rPr>
        <w:t>i</w:t>
      </w:r>
      <w:r>
        <w:rPr>
          <w:color w:val="242424"/>
          <w:w w:val="105"/>
          <w:sz w:val="21"/>
        </w:rPr>
        <w:t>ts cash flows for the year then ended</w:t>
      </w:r>
      <w:r>
        <w:rPr>
          <w:color w:val="727272"/>
          <w:w w:val="105"/>
          <w:sz w:val="21"/>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0"/>
        </w:rPr>
      </w:pPr>
    </w:p>
    <w:p>
      <w:pPr>
        <w:spacing w:line="510" w:lineRule="atLeast" w:before="0"/>
        <w:ind w:left="1127" w:right="7913" w:firstLine="4"/>
        <w:jc w:val="left"/>
        <w:rPr>
          <w:sz w:val="21"/>
        </w:rPr>
      </w:pPr>
      <w:r>
        <w:rPr>
          <w:color w:val="242424"/>
          <w:w w:val="105"/>
          <w:sz w:val="21"/>
        </w:rPr>
        <w:t>Ray Woolley Pty Ltd Ray Woolley</w:t>
      </w:r>
    </w:p>
    <w:p>
      <w:pPr>
        <w:spacing w:line="249" w:lineRule="exact" w:before="4"/>
        <w:ind w:left="1127" w:right="0" w:firstLine="0"/>
        <w:jc w:val="left"/>
        <w:rPr>
          <w:rFonts w:ascii="Times New Roman"/>
          <w:sz w:val="22"/>
        </w:rPr>
      </w:pPr>
      <w:r>
        <w:rPr>
          <w:color w:val="242424"/>
          <w:w w:val="105"/>
          <w:sz w:val="21"/>
        </w:rPr>
        <w:t>Registered Auditor No </w:t>
      </w:r>
      <w:r>
        <w:rPr>
          <w:rFonts w:ascii="Times New Roman"/>
          <w:color w:val="414141"/>
          <w:w w:val="105"/>
          <w:sz w:val="22"/>
        </w:rPr>
        <w:t>1</w:t>
      </w:r>
      <w:r>
        <w:rPr>
          <w:rFonts w:ascii="Times New Roman"/>
          <w:color w:val="242424"/>
          <w:w w:val="105"/>
          <w:sz w:val="22"/>
        </w:rPr>
        <w:t>6396</w:t>
      </w:r>
    </w:p>
    <w:p>
      <w:pPr>
        <w:spacing w:line="249" w:lineRule="exact" w:before="0"/>
        <w:ind w:left="1139" w:right="0" w:firstLine="0"/>
        <w:jc w:val="left"/>
        <w:rPr>
          <w:rFonts w:ascii="Times New Roman"/>
          <w:sz w:val="22"/>
        </w:rPr>
      </w:pPr>
      <w:r>
        <w:rPr>
          <w:rFonts w:ascii="Times New Roman"/>
          <w:color w:val="242424"/>
          <w:w w:val="105"/>
          <w:sz w:val="22"/>
        </w:rPr>
        <w:t>27 </w:t>
      </w:r>
      <w:r>
        <w:rPr>
          <w:color w:val="242424"/>
          <w:w w:val="105"/>
          <w:sz w:val="21"/>
        </w:rPr>
        <w:t>September </w:t>
      </w:r>
      <w:r>
        <w:rPr>
          <w:rFonts w:ascii="Times New Roman"/>
          <w:color w:val="242424"/>
          <w:w w:val="105"/>
          <w:sz w:val="22"/>
        </w:rPr>
        <w:t>2011</w:t>
      </w:r>
    </w:p>
    <w:p>
      <w:pPr>
        <w:pStyle w:val="BodyText"/>
        <w:spacing w:before="3"/>
        <w:rPr>
          <w:rFonts w:ascii="Times New Roman"/>
          <w:sz w:val="22"/>
        </w:rPr>
      </w:pPr>
    </w:p>
    <w:p>
      <w:pPr>
        <w:spacing w:line="249" w:lineRule="auto" w:before="1"/>
        <w:ind w:left="1133" w:right="8163" w:hanging="1"/>
        <w:jc w:val="left"/>
        <w:rPr>
          <w:sz w:val="21"/>
        </w:rPr>
      </w:pPr>
      <w:r>
        <w:rPr>
          <w:rFonts w:ascii="Times New Roman"/>
          <w:color w:val="242424"/>
          <w:w w:val="105"/>
          <w:sz w:val="22"/>
        </w:rPr>
        <w:t>19 </w:t>
      </w:r>
      <w:r>
        <w:rPr>
          <w:color w:val="242424"/>
          <w:w w:val="105"/>
          <w:sz w:val="21"/>
        </w:rPr>
        <w:t>Bayport Circuit Mindarie</w:t>
      </w:r>
    </w:p>
    <w:p>
      <w:pPr>
        <w:spacing w:line="243" w:lineRule="exact" w:before="0"/>
        <w:ind w:left="1137" w:right="0" w:firstLine="0"/>
        <w:jc w:val="left"/>
        <w:rPr>
          <w:rFonts w:ascii="Times New Roman"/>
          <w:sz w:val="22"/>
        </w:rPr>
      </w:pPr>
      <w:r>
        <w:rPr>
          <w:color w:val="242424"/>
          <w:w w:val="110"/>
          <w:sz w:val="21"/>
        </w:rPr>
        <w:t>WA </w:t>
      </w:r>
      <w:r>
        <w:rPr>
          <w:rFonts w:ascii="Times New Roman"/>
          <w:color w:val="242424"/>
          <w:w w:val="110"/>
          <w:sz w:val="22"/>
        </w:rPr>
        <w:t>6030</w:t>
      </w:r>
    </w:p>
    <w:p>
      <w:pPr>
        <w:spacing w:after="0" w:line="243" w:lineRule="exact"/>
        <w:jc w:val="left"/>
        <w:rPr>
          <w:rFonts w:ascii="Times New Roman"/>
          <w:sz w:val="22"/>
        </w:rPr>
        <w:sectPr>
          <w:type w:val="continuous"/>
          <w:pgSz w:w="11910" w:h="16840"/>
          <w:pgMar w:top="1580" w:bottom="280" w:left="480" w:right="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95"/>
        <w:ind w:left="4091" w:right="0" w:firstLine="0"/>
        <w:jc w:val="left"/>
        <w:rPr>
          <w:sz w:val="18"/>
        </w:rPr>
      </w:pPr>
      <w:r>
        <w:rPr>
          <w:color w:val="232323"/>
          <w:w w:val="105"/>
          <w:sz w:val="18"/>
          <w:u w:val="thick" w:color="232323"/>
        </w:rPr>
        <w:t>PEOPLE WITH DISABILITIES (WA) INC</w:t>
      </w:r>
    </w:p>
    <w:p>
      <w:pPr>
        <w:pStyle w:val="BodyText"/>
        <w:rPr>
          <w:sz w:val="20"/>
        </w:rPr>
      </w:pPr>
    </w:p>
    <w:p>
      <w:pPr>
        <w:pStyle w:val="BodyText"/>
        <w:rPr>
          <w:sz w:val="20"/>
        </w:rPr>
      </w:pPr>
    </w:p>
    <w:p>
      <w:pPr>
        <w:pStyle w:val="BodyText"/>
        <w:spacing w:before="5"/>
        <w:rPr>
          <w:sz w:val="23"/>
        </w:rPr>
      </w:pPr>
    </w:p>
    <w:p>
      <w:pPr>
        <w:spacing w:before="0"/>
        <w:ind w:left="2982" w:right="2531" w:firstLine="0"/>
        <w:jc w:val="center"/>
        <w:rPr>
          <w:sz w:val="18"/>
        </w:rPr>
      </w:pPr>
      <w:r>
        <w:rPr>
          <w:color w:val="232323"/>
          <w:sz w:val="18"/>
          <w:u w:val="thick" w:color="232323"/>
        </w:rPr>
        <w:t>STATEMENT BY PRESIDENT</w:t>
      </w:r>
    </w:p>
    <w:p>
      <w:pPr>
        <w:pStyle w:val="BodyText"/>
        <w:rPr>
          <w:sz w:val="20"/>
        </w:rPr>
      </w:pPr>
    </w:p>
    <w:p>
      <w:pPr>
        <w:pStyle w:val="BodyText"/>
        <w:spacing w:before="5"/>
        <w:rPr>
          <w:sz w:val="23"/>
        </w:rPr>
      </w:pPr>
    </w:p>
    <w:p>
      <w:pPr>
        <w:spacing w:before="0"/>
        <w:ind w:left="4345" w:right="0" w:firstLine="0"/>
        <w:jc w:val="left"/>
        <w:rPr>
          <w:sz w:val="18"/>
        </w:rPr>
      </w:pPr>
      <w:r>
        <w:rPr>
          <w:color w:val="232323"/>
          <w:w w:val="105"/>
          <w:sz w:val="18"/>
          <w:u w:val="thick" w:color="232323"/>
        </w:rPr>
        <w:t>For The Year Ended 30 June 2011</w:t>
      </w:r>
    </w:p>
    <w:p>
      <w:pPr>
        <w:pStyle w:val="BodyText"/>
        <w:rPr>
          <w:sz w:val="20"/>
        </w:rPr>
      </w:pPr>
    </w:p>
    <w:p>
      <w:pPr>
        <w:pStyle w:val="BodyText"/>
        <w:spacing w:before="7"/>
        <w:rPr>
          <w:sz w:val="22"/>
        </w:rPr>
      </w:pPr>
    </w:p>
    <w:p>
      <w:pPr>
        <w:spacing w:before="0"/>
        <w:ind w:left="2644" w:right="0" w:firstLine="0"/>
        <w:jc w:val="left"/>
        <w:rPr>
          <w:sz w:val="18"/>
        </w:rPr>
      </w:pPr>
      <w:r>
        <w:rPr>
          <w:color w:val="232323"/>
          <w:w w:val="105"/>
          <w:sz w:val="18"/>
        </w:rPr>
        <w:t>The Board of Management declare that:</w:t>
      </w:r>
    </w:p>
    <w:p>
      <w:pPr>
        <w:pStyle w:val="BodyText"/>
        <w:spacing w:before="1"/>
        <w:rPr>
          <w:sz w:val="22"/>
        </w:rPr>
      </w:pPr>
    </w:p>
    <w:p>
      <w:pPr>
        <w:pStyle w:val="ListParagraph"/>
        <w:numPr>
          <w:ilvl w:val="0"/>
          <w:numId w:val="4"/>
        </w:numPr>
        <w:tabs>
          <w:tab w:pos="3077" w:val="left" w:leader="none"/>
          <w:tab w:pos="3078" w:val="left" w:leader="none"/>
        </w:tabs>
        <w:spacing w:line="266" w:lineRule="auto" w:before="0" w:after="0"/>
        <w:ind w:left="3085" w:right="1763" w:hanging="414"/>
        <w:jc w:val="left"/>
        <w:rPr>
          <w:sz w:val="18"/>
        </w:rPr>
      </w:pPr>
      <w:r>
        <w:rPr>
          <w:color w:val="232323"/>
          <w:w w:val="105"/>
          <w:sz w:val="18"/>
        </w:rPr>
        <w:t>The</w:t>
      </w:r>
      <w:r>
        <w:rPr>
          <w:color w:val="232323"/>
          <w:spacing w:val="-22"/>
          <w:w w:val="105"/>
          <w:sz w:val="18"/>
        </w:rPr>
        <w:t> </w:t>
      </w:r>
      <w:r>
        <w:rPr>
          <w:color w:val="232323"/>
          <w:w w:val="105"/>
          <w:sz w:val="18"/>
        </w:rPr>
        <w:t>attached</w:t>
      </w:r>
      <w:r>
        <w:rPr>
          <w:color w:val="232323"/>
          <w:spacing w:val="-22"/>
          <w:w w:val="105"/>
          <w:sz w:val="18"/>
        </w:rPr>
        <w:t> </w:t>
      </w:r>
      <w:r>
        <w:rPr>
          <w:color w:val="232323"/>
          <w:w w:val="105"/>
          <w:sz w:val="18"/>
        </w:rPr>
        <w:t>financial</w:t>
      </w:r>
      <w:r>
        <w:rPr>
          <w:color w:val="232323"/>
          <w:spacing w:val="-20"/>
          <w:w w:val="105"/>
          <w:sz w:val="18"/>
        </w:rPr>
        <w:t> </w:t>
      </w:r>
      <w:r>
        <w:rPr>
          <w:color w:val="232323"/>
          <w:w w:val="105"/>
          <w:sz w:val="18"/>
        </w:rPr>
        <w:t>statements</w:t>
      </w:r>
      <w:r>
        <w:rPr>
          <w:color w:val="232323"/>
          <w:spacing w:val="-13"/>
          <w:w w:val="105"/>
          <w:sz w:val="18"/>
        </w:rPr>
        <w:t> </w:t>
      </w:r>
      <w:r>
        <w:rPr>
          <w:color w:val="232323"/>
          <w:w w:val="105"/>
          <w:sz w:val="18"/>
        </w:rPr>
        <w:t>and</w:t>
      </w:r>
      <w:r>
        <w:rPr>
          <w:color w:val="232323"/>
          <w:spacing w:val="-30"/>
          <w:w w:val="105"/>
          <w:sz w:val="18"/>
        </w:rPr>
        <w:t> </w:t>
      </w:r>
      <w:r>
        <w:rPr>
          <w:color w:val="232323"/>
          <w:w w:val="105"/>
          <w:sz w:val="18"/>
        </w:rPr>
        <w:t>notes</w:t>
      </w:r>
      <w:r>
        <w:rPr>
          <w:color w:val="232323"/>
          <w:spacing w:val="-24"/>
          <w:w w:val="105"/>
          <w:sz w:val="18"/>
        </w:rPr>
        <w:t> </w:t>
      </w:r>
      <w:r>
        <w:rPr>
          <w:color w:val="232323"/>
          <w:w w:val="105"/>
          <w:sz w:val="18"/>
        </w:rPr>
        <w:t>thereto</w:t>
      </w:r>
      <w:r>
        <w:rPr>
          <w:color w:val="232323"/>
          <w:spacing w:val="-22"/>
          <w:w w:val="105"/>
          <w:sz w:val="18"/>
        </w:rPr>
        <w:t> </w:t>
      </w:r>
      <w:r>
        <w:rPr>
          <w:color w:val="232323"/>
          <w:w w:val="105"/>
          <w:sz w:val="18"/>
        </w:rPr>
        <w:t>comply</w:t>
      </w:r>
      <w:r>
        <w:rPr>
          <w:color w:val="232323"/>
          <w:spacing w:val="-15"/>
          <w:w w:val="105"/>
          <w:sz w:val="18"/>
        </w:rPr>
        <w:t> </w:t>
      </w:r>
      <w:r>
        <w:rPr>
          <w:color w:val="232323"/>
          <w:w w:val="105"/>
          <w:sz w:val="18"/>
        </w:rPr>
        <w:t>with</w:t>
      </w:r>
      <w:r>
        <w:rPr>
          <w:color w:val="232323"/>
          <w:spacing w:val="-22"/>
          <w:w w:val="105"/>
          <w:sz w:val="18"/>
        </w:rPr>
        <w:t> </w:t>
      </w:r>
      <w:r>
        <w:rPr>
          <w:color w:val="232323"/>
          <w:w w:val="105"/>
          <w:sz w:val="18"/>
        </w:rPr>
        <w:t>accounting standards</w:t>
      </w:r>
    </w:p>
    <w:p>
      <w:pPr>
        <w:pStyle w:val="BodyText"/>
        <w:spacing w:before="1"/>
        <w:rPr>
          <w:sz w:val="21"/>
        </w:rPr>
      </w:pPr>
    </w:p>
    <w:p>
      <w:pPr>
        <w:pStyle w:val="ListParagraph"/>
        <w:numPr>
          <w:ilvl w:val="0"/>
          <w:numId w:val="4"/>
        </w:numPr>
        <w:tabs>
          <w:tab w:pos="3082" w:val="left" w:leader="none"/>
          <w:tab w:pos="3083" w:val="left" w:leader="none"/>
        </w:tabs>
        <w:spacing w:line="266" w:lineRule="auto" w:before="0" w:after="0"/>
        <w:ind w:left="3083" w:right="1491" w:hanging="408"/>
        <w:jc w:val="left"/>
        <w:rPr>
          <w:sz w:val="18"/>
        </w:rPr>
      </w:pPr>
      <w:r>
        <w:rPr>
          <w:color w:val="232323"/>
          <w:w w:val="105"/>
          <w:sz w:val="18"/>
        </w:rPr>
        <w:t>The</w:t>
      </w:r>
      <w:r>
        <w:rPr>
          <w:color w:val="232323"/>
          <w:spacing w:val="-14"/>
          <w:w w:val="105"/>
          <w:sz w:val="18"/>
        </w:rPr>
        <w:t> </w:t>
      </w:r>
      <w:r>
        <w:rPr>
          <w:color w:val="232323"/>
          <w:w w:val="105"/>
          <w:sz w:val="18"/>
        </w:rPr>
        <w:t>attached</w:t>
      </w:r>
      <w:r>
        <w:rPr>
          <w:color w:val="232323"/>
          <w:spacing w:val="-6"/>
          <w:w w:val="105"/>
          <w:sz w:val="18"/>
        </w:rPr>
        <w:t> </w:t>
      </w:r>
      <w:r>
        <w:rPr>
          <w:color w:val="232323"/>
          <w:w w:val="105"/>
          <w:sz w:val="18"/>
        </w:rPr>
        <w:t>financial</w:t>
      </w:r>
      <w:r>
        <w:rPr>
          <w:color w:val="232323"/>
          <w:spacing w:val="-6"/>
          <w:w w:val="105"/>
          <w:sz w:val="18"/>
        </w:rPr>
        <w:t> </w:t>
      </w:r>
      <w:r>
        <w:rPr>
          <w:color w:val="232323"/>
          <w:w w:val="105"/>
          <w:sz w:val="18"/>
        </w:rPr>
        <w:t>statements</w:t>
      </w:r>
      <w:r>
        <w:rPr>
          <w:color w:val="232323"/>
          <w:spacing w:val="-7"/>
          <w:w w:val="105"/>
          <w:sz w:val="18"/>
        </w:rPr>
        <w:t> </w:t>
      </w:r>
      <w:r>
        <w:rPr>
          <w:color w:val="232323"/>
          <w:w w:val="105"/>
          <w:sz w:val="18"/>
        </w:rPr>
        <w:t>and</w:t>
      </w:r>
      <w:r>
        <w:rPr>
          <w:color w:val="232323"/>
          <w:spacing w:val="-21"/>
          <w:w w:val="105"/>
          <w:sz w:val="18"/>
        </w:rPr>
        <w:t> </w:t>
      </w:r>
      <w:r>
        <w:rPr>
          <w:color w:val="232323"/>
          <w:w w:val="105"/>
          <w:sz w:val="18"/>
        </w:rPr>
        <w:t>notes</w:t>
      </w:r>
      <w:r>
        <w:rPr>
          <w:color w:val="232323"/>
          <w:spacing w:val="-14"/>
          <w:w w:val="105"/>
          <w:sz w:val="18"/>
        </w:rPr>
        <w:t> </w:t>
      </w:r>
      <w:r>
        <w:rPr>
          <w:color w:val="232323"/>
          <w:w w:val="105"/>
          <w:sz w:val="18"/>
        </w:rPr>
        <w:t>thereto</w:t>
      </w:r>
      <w:r>
        <w:rPr>
          <w:color w:val="232323"/>
          <w:spacing w:val="-19"/>
          <w:w w:val="105"/>
          <w:sz w:val="18"/>
        </w:rPr>
        <w:t> </w:t>
      </w:r>
      <w:r>
        <w:rPr>
          <w:color w:val="232323"/>
          <w:w w:val="105"/>
          <w:sz w:val="18"/>
        </w:rPr>
        <w:t>give</w:t>
      </w:r>
      <w:r>
        <w:rPr>
          <w:color w:val="232323"/>
          <w:spacing w:val="-20"/>
          <w:w w:val="105"/>
          <w:sz w:val="18"/>
        </w:rPr>
        <w:t> </w:t>
      </w:r>
      <w:r>
        <w:rPr>
          <w:color w:val="232323"/>
          <w:w w:val="105"/>
          <w:sz w:val="18"/>
        </w:rPr>
        <w:t>a</w:t>
      </w:r>
      <w:r>
        <w:rPr>
          <w:color w:val="232323"/>
          <w:spacing w:val="-17"/>
          <w:w w:val="105"/>
          <w:sz w:val="18"/>
        </w:rPr>
        <w:t> </w:t>
      </w:r>
      <w:r>
        <w:rPr>
          <w:color w:val="232323"/>
          <w:w w:val="105"/>
          <w:sz w:val="18"/>
        </w:rPr>
        <w:t>true</w:t>
      </w:r>
      <w:r>
        <w:rPr>
          <w:color w:val="232323"/>
          <w:spacing w:val="-19"/>
          <w:w w:val="105"/>
          <w:sz w:val="18"/>
        </w:rPr>
        <w:t> </w:t>
      </w:r>
      <w:r>
        <w:rPr>
          <w:color w:val="232323"/>
          <w:w w:val="105"/>
          <w:sz w:val="18"/>
        </w:rPr>
        <w:t>and</w:t>
      </w:r>
      <w:r>
        <w:rPr>
          <w:color w:val="232323"/>
          <w:spacing w:val="-21"/>
          <w:w w:val="105"/>
          <w:sz w:val="18"/>
        </w:rPr>
        <w:t> </w:t>
      </w:r>
      <w:r>
        <w:rPr>
          <w:color w:val="232323"/>
          <w:w w:val="105"/>
          <w:sz w:val="18"/>
        </w:rPr>
        <w:t>fair</w:t>
      </w:r>
      <w:r>
        <w:rPr>
          <w:color w:val="232323"/>
          <w:spacing w:val="-14"/>
          <w:w w:val="105"/>
          <w:sz w:val="18"/>
        </w:rPr>
        <w:t> </w:t>
      </w:r>
      <w:r>
        <w:rPr>
          <w:color w:val="232323"/>
          <w:w w:val="105"/>
          <w:sz w:val="18"/>
        </w:rPr>
        <w:t>view</w:t>
      </w:r>
      <w:r>
        <w:rPr>
          <w:color w:val="232323"/>
          <w:spacing w:val="-11"/>
          <w:w w:val="105"/>
          <w:sz w:val="18"/>
        </w:rPr>
        <w:t> </w:t>
      </w:r>
      <w:r>
        <w:rPr>
          <w:color w:val="232323"/>
          <w:w w:val="105"/>
          <w:sz w:val="18"/>
        </w:rPr>
        <w:t>of the</w:t>
      </w:r>
      <w:r>
        <w:rPr>
          <w:color w:val="232323"/>
          <w:spacing w:val="-8"/>
          <w:w w:val="105"/>
          <w:sz w:val="18"/>
        </w:rPr>
        <w:t> </w:t>
      </w:r>
      <w:r>
        <w:rPr>
          <w:color w:val="232323"/>
          <w:w w:val="105"/>
          <w:sz w:val="18"/>
        </w:rPr>
        <w:t>financial</w:t>
      </w:r>
      <w:r>
        <w:rPr>
          <w:color w:val="232323"/>
          <w:spacing w:val="-7"/>
          <w:w w:val="105"/>
          <w:sz w:val="18"/>
        </w:rPr>
        <w:t> </w:t>
      </w:r>
      <w:r>
        <w:rPr>
          <w:color w:val="232323"/>
          <w:w w:val="105"/>
          <w:sz w:val="18"/>
        </w:rPr>
        <w:t>position</w:t>
      </w:r>
      <w:r>
        <w:rPr>
          <w:color w:val="232323"/>
          <w:spacing w:val="-10"/>
          <w:w w:val="105"/>
          <w:sz w:val="18"/>
        </w:rPr>
        <w:t> </w:t>
      </w:r>
      <w:r>
        <w:rPr>
          <w:color w:val="232323"/>
          <w:w w:val="105"/>
          <w:sz w:val="18"/>
        </w:rPr>
        <w:t>and</w:t>
      </w:r>
      <w:r>
        <w:rPr>
          <w:color w:val="232323"/>
          <w:spacing w:val="-15"/>
          <w:w w:val="105"/>
          <w:sz w:val="18"/>
        </w:rPr>
        <w:t> </w:t>
      </w:r>
      <w:r>
        <w:rPr>
          <w:color w:val="232323"/>
          <w:w w:val="105"/>
          <w:sz w:val="18"/>
        </w:rPr>
        <w:t>performance</w:t>
      </w:r>
      <w:r>
        <w:rPr>
          <w:color w:val="232323"/>
          <w:spacing w:val="1"/>
          <w:w w:val="105"/>
          <w:sz w:val="18"/>
        </w:rPr>
        <w:t> </w:t>
      </w:r>
      <w:r>
        <w:rPr>
          <w:color w:val="232323"/>
          <w:w w:val="105"/>
          <w:sz w:val="18"/>
        </w:rPr>
        <w:t>of</w:t>
      </w:r>
      <w:r>
        <w:rPr>
          <w:color w:val="232323"/>
          <w:spacing w:val="-7"/>
          <w:w w:val="105"/>
          <w:sz w:val="18"/>
        </w:rPr>
        <w:t> </w:t>
      </w:r>
      <w:r>
        <w:rPr>
          <w:color w:val="232323"/>
          <w:w w:val="105"/>
          <w:sz w:val="18"/>
        </w:rPr>
        <w:t>the</w:t>
      </w:r>
      <w:r>
        <w:rPr>
          <w:color w:val="232323"/>
          <w:spacing w:val="-13"/>
          <w:w w:val="105"/>
          <w:sz w:val="18"/>
        </w:rPr>
        <w:t> </w:t>
      </w:r>
      <w:r>
        <w:rPr>
          <w:color w:val="232323"/>
          <w:w w:val="105"/>
          <w:sz w:val="18"/>
        </w:rPr>
        <w:t>assoc</w:t>
      </w:r>
      <w:r>
        <w:rPr>
          <w:color w:val="3D3D3D"/>
          <w:w w:val="105"/>
          <w:sz w:val="18"/>
        </w:rPr>
        <w:t>i</w:t>
      </w:r>
      <w:r>
        <w:rPr>
          <w:color w:val="232323"/>
          <w:w w:val="105"/>
          <w:sz w:val="18"/>
        </w:rPr>
        <w:t>ation;</w:t>
      </w:r>
      <w:r>
        <w:rPr>
          <w:color w:val="232323"/>
          <w:spacing w:val="-4"/>
          <w:w w:val="105"/>
          <w:sz w:val="18"/>
        </w:rPr>
        <w:t> </w:t>
      </w:r>
      <w:r>
        <w:rPr>
          <w:color w:val="232323"/>
          <w:w w:val="105"/>
          <w:sz w:val="18"/>
        </w:rPr>
        <w:t>and</w:t>
      </w:r>
    </w:p>
    <w:p>
      <w:pPr>
        <w:pStyle w:val="BodyText"/>
        <w:spacing w:before="9"/>
        <w:rPr>
          <w:sz w:val="19"/>
        </w:rPr>
      </w:pPr>
    </w:p>
    <w:p>
      <w:pPr>
        <w:pStyle w:val="ListParagraph"/>
        <w:numPr>
          <w:ilvl w:val="0"/>
          <w:numId w:val="4"/>
        </w:numPr>
        <w:tabs>
          <w:tab w:pos="3088" w:val="left" w:leader="none"/>
          <w:tab w:pos="3089" w:val="left" w:leader="none"/>
        </w:tabs>
        <w:spacing w:line="266" w:lineRule="auto" w:before="0" w:after="0"/>
        <w:ind w:left="3089" w:right="1457" w:hanging="414"/>
        <w:jc w:val="left"/>
        <w:rPr>
          <w:sz w:val="18"/>
        </w:rPr>
      </w:pPr>
      <w:r>
        <w:rPr>
          <w:color w:val="232323"/>
          <w:w w:val="105"/>
          <w:sz w:val="18"/>
        </w:rPr>
        <w:t>In</w:t>
      </w:r>
      <w:r>
        <w:rPr>
          <w:color w:val="232323"/>
          <w:spacing w:val="-20"/>
          <w:w w:val="105"/>
          <w:sz w:val="18"/>
        </w:rPr>
        <w:t> </w:t>
      </w:r>
      <w:r>
        <w:rPr>
          <w:color w:val="232323"/>
          <w:w w:val="105"/>
          <w:sz w:val="18"/>
        </w:rPr>
        <w:t>the</w:t>
      </w:r>
      <w:r>
        <w:rPr>
          <w:color w:val="232323"/>
          <w:spacing w:val="-23"/>
          <w:w w:val="105"/>
          <w:sz w:val="18"/>
        </w:rPr>
        <w:t> </w:t>
      </w:r>
      <w:r>
        <w:rPr>
          <w:color w:val="232323"/>
          <w:w w:val="105"/>
          <w:sz w:val="18"/>
        </w:rPr>
        <w:t>Board</w:t>
      </w:r>
      <w:r>
        <w:rPr>
          <w:color w:val="232323"/>
          <w:spacing w:val="-23"/>
          <w:w w:val="105"/>
          <w:sz w:val="18"/>
        </w:rPr>
        <w:t> </w:t>
      </w:r>
      <w:r>
        <w:rPr>
          <w:color w:val="232323"/>
          <w:w w:val="105"/>
          <w:sz w:val="18"/>
        </w:rPr>
        <w:t>of</w:t>
      </w:r>
      <w:r>
        <w:rPr>
          <w:color w:val="232323"/>
          <w:spacing w:val="-18"/>
          <w:w w:val="105"/>
          <w:sz w:val="18"/>
        </w:rPr>
        <w:t> </w:t>
      </w:r>
      <w:r>
        <w:rPr>
          <w:color w:val="232323"/>
          <w:w w:val="105"/>
          <w:sz w:val="18"/>
        </w:rPr>
        <w:t>Management's</w:t>
      </w:r>
      <w:r>
        <w:rPr>
          <w:color w:val="232323"/>
          <w:spacing w:val="-1"/>
          <w:w w:val="105"/>
          <w:sz w:val="18"/>
        </w:rPr>
        <w:t> </w:t>
      </w:r>
      <w:r>
        <w:rPr>
          <w:color w:val="232323"/>
          <w:w w:val="105"/>
          <w:sz w:val="18"/>
        </w:rPr>
        <w:t>opinion,</w:t>
      </w:r>
      <w:r>
        <w:rPr>
          <w:color w:val="232323"/>
          <w:spacing w:val="-23"/>
          <w:w w:val="105"/>
          <w:sz w:val="18"/>
        </w:rPr>
        <w:t> </w:t>
      </w:r>
      <w:r>
        <w:rPr>
          <w:color w:val="232323"/>
          <w:w w:val="105"/>
          <w:sz w:val="18"/>
        </w:rPr>
        <w:t>there</w:t>
      </w:r>
      <w:r>
        <w:rPr>
          <w:color w:val="232323"/>
          <w:spacing w:val="-19"/>
          <w:w w:val="105"/>
          <w:sz w:val="18"/>
        </w:rPr>
        <w:t> </w:t>
      </w:r>
      <w:r>
        <w:rPr>
          <w:color w:val="232323"/>
          <w:w w:val="105"/>
          <w:sz w:val="18"/>
        </w:rPr>
        <w:t>are</w:t>
      </w:r>
      <w:r>
        <w:rPr>
          <w:color w:val="232323"/>
          <w:spacing w:val="-18"/>
          <w:w w:val="105"/>
          <w:sz w:val="18"/>
        </w:rPr>
        <w:t> </w:t>
      </w:r>
      <w:r>
        <w:rPr>
          <w:color w:val="232323"/>
          <w:w w:val="105"/>
          <w:sz w:val="18"/>
        </w:rPr>
        <w:t>reasonable</w:t>
      </w:r>
      <w:r>
        <w:rPr>
          <w:color w:val="232323"/>
          <w:spacing w:val="-4"/>
          <w:w w:val="105"/>
          <w:sz w:val="18"/>
        </w:rPr>
        <w:t> </w:t>
      </w:r>
      <w:r>
        <w:rPr>
          <w:color w:val="232323"/>
          <w:w w:val="105"/>
          <w:sz w:val="18"/>
        </w:rPr>
        <w:t>grounds</w:t>
      </w:r>
      <w:r>
        <w:rPr>
          <w:color w:val="232323"/>
          <w:spacing w:val="-12"/>
          <w:w w:val="105"/>
          <w:sz w:val="18"/>
        </w:rPr>
        <w:t> </w:t>
      </w:r>
      <w:r>
        <w:rPr>
          <w:color w:val="232323"/>
          <w:w w:val="105"/>
          <w:sz w:val="18"/>
        </w:rPr>
        <w:t>to</w:t>
      </w:r>
      <w:r>
        <w:rPr>
          <w:color w:val="232323"/>
          <w:spacing w:val="-17"/>
          <w:w w:val="105"/>
          <w:sz w:val="18"/>
        </w:rPr>
        <w:t> </w:t>
      </w:r>
      <w:r>
        <w:rPr>
          <w:color w:val="232323"/>
          <w:w w:val="105"/>
          <w:sz w:val="18"/>
        </w:rPr>
        <w:t>believe that</w:t>
      </w:r>
      <w:r>
        <w:rPr>
          <w:color w:val="232323"/>
          <w:spacing w:val="-21"/>
          <w:w w:val="105"/>
          <w:sz w:val="18"/>
        </w:rPr>
        <w:t> </w:t>
      </w:r>
      <w:r>
        <w:rPr>
          <w:color w:val="232323"/>
          <w:w w:val="105"/>
          <w:sz w:val="18"/>
        </w:rPr>
        <w:t>the</w:t>
      </w:r>
      <w:r>
        <w:rPr>
          <w:color w:val="232323"/>
          <w:spacing w:val="-18"/>
          <w:w w:val="105"/>
          <w:sz w:val="18"/>
        </w:rPr>
        <w:t> </w:t>
      </w:r>
      <w:r>
        <w:rPr>
          <w:color w:val="232323"/>
          <w:w w:val="105"/>
          <w:sz w:val="18"/>
        </w:rPr>
        <w:t>Association</w:t>
      </w:r>
      <w:r>
        <w:rPr>
          <w:color w:val="232323"/>
          <w:spacing w:val="2"/>
          <w:w w:val="105"/>
          <w:sz w:val="18"/>
        </w:rPr>
        <w:t> </w:t>
      </w:r>
      <w:r>
        <w:rPr>
          <w:color w:val="232323"/>
          <w:w w:val="105"/>
          <w:sz w:val="18"/>
        </w:rPr>
        <w:t>will</w:t>
      </w:r>
      <w:r>
        <w:rPr>
          <w:color w:val="232323"/>
          <w:spacing w:val="-17"/>
          <w:w w:val="105"/>
          <w:sz w:val="18"/>
        </w:rPr>
        <w:t> </w:t>
      </w:r>
      <w:r>
        <w:rPr>
          <w:color w:val="232323"/>
          <w:w w:val="105"/>
          <w:sz w:val="18"/>
        </w:rPr>
        <w:t>be</w:t>
      </w:r>
      <w:r>
        <w:rPr>
          <w:color w:val="232323"/>
          <w:spacing w:val="-14"/>
          <w:w w:val="105"/>
          <w:sz w:val="18"/>
        </w:rPr>
        <w:t> </w:t>
      </w:r>
      <w:r>
        <w:rPr>
          <w:color w:val="232323"/>
          <w:w w:val="105"/>
          <w:sz w:val="18"/>
        </w:rPr>
        <w:t>able</w:t>
      </w:r>
      <w:r>
        <w:rPr>
          <w:color w:val="232323"/>
          <w:spacing w:val="-11"/>
          <w:w w:val="105"/>
          <w:sz w:val="18"/>
        </w:rPr>
        <w:t> </w:t>
      </w:r>
      <w:r>
        <w:rPr>
          <w:color w:val="232323"/>
          <w:w w:val="105"/>
          <w:sz w:val="18"/>
        </w:rPr>
        <w:t>to</w:t>
      </w:r>
      <w:r>
        <w:rPr>
          <w:color w:val="232323"/>
          <w:spacing w:val="-13"/>
          <w:w w:val="105"/>
          <w:sz w:val="18"/>
        </w:rPr>
        <w:t> </w:t>
      </w:r>
      <w:r>
        <w:rPr>
          <w:color w:val="232323"/>
          <w:w w:val="105"/>
          <w:sz w:val="18"/>
        </w:rPr>
        <w:t>pay</w:t>
      </w:r>
      <w:r>
        <w:rPr>
          <w:color w:val="232323"/>
          <w:spacing w:val="-16"/>
          <w:w w:val="105"/>
          <w:sz w:val="18"/>
        </w:rPr>
        <w:t> </w:t>
      </w:r>
      <w:r>
        <w:rPr>
          <w:color w:val="232323"/>
          <w:w w:val="105"/>
          <w:sz w:val="18"/>
        </w:rPr>
        <w:t>its</w:t>
      </w:r>
      <w:r>
        <w:rPr>
          <w:color w:val="232323"/>
          <w:spacing w:val="-16"/>
          <w:w w:val="105"/>
          <w:sz w:val="18"/>
        </w:rPr>
        <w:t> </w:t>
      </w:r>
      <w:r>
        <w:rPr>
          <w:color w:val="232323"/>
          <w:w w:val="105"/>
          <w:sz w:val="18"/>
        </w:rPr>
        <w:t>debts</w:t>
      </w:r>
      <w:r>
        <w:rPr>
          <w:color w:val="232323"/>
          <w:spacing w:val="-26"/>
          <w:w w:val="105"/>
          <w:sz w:val="18"/>
        </w:rPr>
        <w:t> </w:t>
      </w:r>
      <w:r>
        <w:rPr>
          <w:color w:val="232323"/>
          <w:w w:val="105"/>
          <w:sz w:val="18"/>
        </w:rPr>
        <w:t>as</w:t>
      </w:r>
      <w:r>
        <w:rPr>
          <w:color w:val="232323"/>
          <w:spacing w:val="-16"/>
          <w:w w:val="105"/>
          <w:sz w:val="18"/>
        </w:rPr>
        <w:t> </w:t>
      </w:r>
      <w:r>
        <w:rPr>
          <w:color w:val="232323"/>
          <w:w w:val="105"/>
          <w:sz w:val="18"/>
        </w:rPr>
        <w:t>and</w:t>
      </w:r>
      <w:r>
        <w:rPr>
          <w:color w:val="232323"/>
          <w:spacing w:val="-16"/>
          <w:w w:val="105"/>
          <w:sz w:val="18"/>
        </w:rPr>
        <w:t> </w:t>
      </w:r>
      <w:r>
        <w:rPr>
          <w:color w:val="232323"/>
          <w:w w:val="105"/>
          <w:sz w:val="18"/>
        </w:rPr>
        <w:t>when</w:t>
      </w:r>
      <w:r>
        <w:rPr>
          <w:color w:val="232323"/>
          <w:spacing w:val="-3"/>
          <w:w w:val="105"/>
          <w:sz w:val="18"/>
        </w:rPr>
        <w:t> </w:t>
      </w:r>
      <w:r>
        <w:rPr>
          <w:color w:val="232323"/>
          <w:w w:val="105"/>
          <w:sz w:val="18"/>
        </w:rPr>
        <w:t>they</w:t>
      </w:r>
      <w:r>
        <w:rPr>
          <w:color w:val="232323"/>
          <w:spacing w:val="-15"/>
          <w:w w:val="105"/>
          <w:sz w:val="18"/>
        </w:rPr>
        <w:t> </w:t>
      </w:r>
      <w:r>
        <w:rPr>
          <w:color w:val="232323"/>
          <w:w w:val="105"/>
          <w:sz w:val="18"/>
        </w:rPr>
        <w:t>become</w:t>
      </w:r>
      <w:r>
        <w:rPr>
          <w:color w:val="232323"/>
          <w:spacing w:val="-11"/>
          <w:w w:val="105"/>
          <w:sz w:val="18"/>
        </w:rPr>
        <w:t> </w:t>
      </w:r>
      <w:r>
        <w:rPr>
          <w:color w:val="232323"/>
          <w:w w:val="105"/>
          <w:sz w:val="18"/>
        </w:rPr>
        <w:t>due and</w:t>
      </w:r>
      <w:r>
        <w:rPr>
          <w:color w:val="232323"/>
          <w:spacing w:val="-12"/>
          <w:w w:val="105"/>
          <w:sz w:val="18"/>
        </w:rPr>
        <w:t> </w:t>
      </w:r>
      <w:r>
        <w:rPr>
          <w:color w:val="232323"/>
          <w:w w:val="105"/>
          <w:sz w:val="18"/>
        </w:rPr>
        <w:t>payable.</w:t>
      </w:r>
    </w:p>
    <w:p>
      <w:pPr>
        <w:pStyle w:val="BodyText"/>
        <w:rPr>
          <w:sz w:val="20"/>
        </w:rPr>
      </w:pPr>
    </w:p>
    <w:p>
      <w:pPr>
        <w:pStyle w:val="BodyText"/>
        <w:rPr>
          <w:sz w:val="20"/>
        </w:rPr>
      </w:pPr>
    </w:p>
    <w:p>
      <w:pPr>
        <w:pStyle w:val="BodyText"/>
        <w:spacing w:before="10"/>
        <w:rPr>
          <w:sz w:val="22"/>
        </w:rPr>
      </w:pPr>
    </w:p>
    <w:p>
      <w:pPr>
        <w:spacing w:before="1"/>
        <w:ind w:left="2683" w:right="0" w:firstLine="0"/>
        <w:jc w:val="left"/>
        <w:rPr>
          <w:sz w:val="18"/>
        </w:rPr>
      </w:pPr>
      <w:r>
        <w:rPr>
          <w:color w:val="232323"/>
          <w:w w:val="105"/>
          <w:sz w:val="18"/>
        </w:rPr>
        <w:t>Signed on behalf of the Board of Management</w:t>
      </w:r>
    </w:p>
    <w:p>
      <w:pPr>
        <w:pStyle w:val="BodyText"/>
        <w:spacing w:before="1"/>
        <w:rPr>
          <w:sz w:val="27"/>
        </w:rPr>
      </w:pPr>
      <w:r>
        <w:rPr/>
        <w:drawing>
          <wp:anchor distT="0" distB="0" distL="0" distR="0" allowOverlap="1" layoutInCell="1" locked="0" behindDoc="0" simplePos="0" relativeHeight="1600">
            <wp:simplePos x="0" y="0"/>
            <wp:positionH relativeFrom="page">
              <wp:posOffset>2014367</wp:posOffset>
            </wp:positionH>
            <wp:positionV relativeFrom="paragraph">
              <wp:posOffset>222875</wp:posOffset>
            </wp:positionV>
            <wp:extent cx="1085339" cy="451103"/>
            <wp:effectExtent l="0" t="0" r="0" b="0"/>
            <wp:wrapTopAndBottom/>
            <wp:docPr id="11" name="image23.png" descr=""/>
            <wp:cNvGraphicFramePr>
              <a:graphicFrameLocks noChangeAspect="1"/>
            </wp:cNvGraphicFramePr>
            <a:graphic>
              <a:graphicData uri="http://schemas.openxmlformats.org/drawingml/2006/picture">
                <pic:pic>
                  <pic:nvPicPr>
                    <pic:cNvPr id="12" name="image23.png"/>
                    <pic:cNvPicPr/>
                  </pic:nvPicPr>
                  <pic:blipFill>
                    <a:blip r:embed="rId43" cstate="print"/>
                    <a:stretch>
                      <a:fillRect/>
                    </a:stretch>
                  </pic:blipFill>
                  <pic:spPr>
                    <a:xfrm>
                      <a:off x="0" y="0"/>
                      <a:ext cx="1085339" cy="451103"/>
                    </a:xfrm>
                    <a:prstGeom prst="rect">
                      <a:avLst/>
                    </a:prstGeom>
                  </pic:spPr>
                </pic:pic>
              </a:graphicData>
            </a:graphic>
          </wp:anchor>
        </w:drawing>
      </w:r>
    </w:p>
    <w:p>
      <w:pPr>
        <w:spacing w:line="266" w:lineRule="auto" w:before="115"/>
        <w:ind w:left="2702" w:right="6568" w:hanging="10"/>
        <w:jc w:val="left"/>
        <w:rPr>
          <w:sz w:val="18"/>
        </w:rPr>
      </w:pPr>
      <w:r>
        <w:rPr>
          <w:color w:val="232323"/>
          <w:sz w:val="18"/>
        </w:rPr>
        <w:t>Mary-Anne Bath President</w:t>
      </w:r>
    </w:p>
    <w:p>
      <w:pPr>
        <w:pStyle w:val="BodyText"/>
        <w:rPr>
          <w:sz w:val="20"/>
        </w:rPr>
      </w:pPr>
    </w:p>
    <w:p>
      <w:pPr>
        <w:pStyle w:val="BodyText"/>
        <w:spacing w:before="7"/>
      </w:pPr>
    </w:p>
    <w:p>
      <w:pPr>
        <w:spacing w:before="1"/>
        <w:ind w:left="2707" w:right="0" w:firstLine="0"/>
        <w:jc w:val="left"/>
        <w:rPr>
          <w:i/>
          <w:sz w:val="70"/>
        </w:rPr>
      </w:pPr>
      <w:r>
        <w:rPr>
          <w:color w:val="232323"/>
          <w:spacing w:val="-1"/>
          <w:w w:val="104"/>
          <w:sz w:val="18"/>
        </w:rPr>
        <w:t>Date</w:t>
      </w:r>
      <w:r>
        <w:rPr>
          <w:color w:val="232323"/>
          <w:w w:val="104"/>
          <w:sz w:val="18"/>
        </w:rPr>
        <w:t>:</w:t>
      </w:r>
      <w:r>
        <w:rPr>
          <w:color w:val="232323"/>
          <w:sz w:val="18"/>
        </w:rPr>
        <w:t>  </w:t>
      </w:r>
      <w:r>
        <w:rPr>
          <w:color w:val="232323"/>
          <w:spacing w:val="-7"/>
          <w:sz w:val="18"/>
        </w:rPr>
        <w:t> </w:t>
      </w:r>
      <w:r>
        <w:rPr>
          <w:i/>
          <w:color w:val="232323"/>
          <w:spacing w:val="-1"/>
          <w:w w:val="52"/>
          <w:sz w:val="48"/>
        </w:rPr>
        <w:t>1</w:t>
      </w:r>
      <w:r>
        <w:rPr>
          <w:i/>
          <w:color w:val="232323"/>
          <w:w w:val="52"/>
          <w:sz w:val="48"/>
        </w:rPr>
        <w:t>/</w:t>
      </w:r>
      <w:r>
        <w:rPr>
          <w:i/>
          <w:color w:val="232323"/>
          <w:spacing w:val="-48"/>
          <w:sz w:val="48"/>
        </w:rPr>
        <w:t> </w:t>
      </w:r>
      <w:r>
        <w:rPr>
          <w:i/>
          <w:color w:val="232323"/>
          <w:spacing w:val="-94"/>
          <w:w w:val="75"/>
          <w:sz w:val="70"/>
        </w:rPr>
        <w:t>/</w:t>
      </w:r>
      <w:r>
        <w:rPr>
          <w:i/>
          <w:color w:val="232323"/>
          <w:spacing w:val="-2"/>
          <w:w w:val="50"/>
          <w:sz w:val="70"/>
        </w:rPr>
        <w:t>1</w:t>
      </w:r>
      <w:r>
        <w:rPr>
          <w:i/>
          <w:color w:val="3D3D3D"/>
          <w:spacing w:val="2"/>
          <w:w w:val="46"/>
          <w:sz w:val="70"/>
        </w:rPr>
        <w:t>0</w:t>
      </w:r>
      <w:r>
        <w:rPr>
          <w:i/>
          <w:color w:val="232323"/>
          <w:spacing w:val="47"/>
          <w:w w:val="99"/>
          <w:sz w:val="70"/>
        </w:rPr>
        <w:t>/</w:t>
      </w:r>
      <w:r>
        <w:rPr>
          <w:i/>
          <w:color w:val="232323"/>
          <w:w w:val="53"/>
          <w:sz w:val="70"/>
        </w:rPr>
        <w:t>f</w:t>
      </w:r>
    </w:p>
    <w:p>
      <w:pPr>
        <w:spacing w:before="317"/>
        <w:ind w:left="2711" w:right="0" w:firstLine="0"/>
        <w:jc w:val="left"/>
        <w:rPr>
          <w:sz w:val="18"/>
        </w:rPr>
      </w:pPr>
      <w:r>
        <w:rPr>
          <w:color w:val="232323"/>
          <w:w w:val="105"/>
          <w:sz w:val="18"/>
        </w:rPr>
        <w:t>PERTH, WA</w:t>
      </w:r>
    </w:p>
    <w:p>
      <w:pPr>
        <w:spacing w:after="0"/>
        <w:jc w:val="left"/>
        <w:rPr>
          <w:sz w:val="18"/>
        </w:rPr>
        <w:sectPr>
          <w:pgSz w:w="11910" w:h="16840"/>
          <w:pgMar w:header="0" w:footer="1209" w:top="1580" w:bottom="1420" w:left="480" w:right="380"/>
        </w:sectPr>
      </w:pPr>
    </w:p>
    <w:p>
      <w:pPr>
        <w:pStyle w:val="BodyText"/>
        <w:rPr>
          <w:sz w:val="20"/>
        </w:rPr>
      </w:pPr>
      <w:r>
        <w:rPr/>
        <w:pict>
          <v:line style="position:absolute;mso-position-horizontal-relative:page;mso-position-vertical-relative:page;z-index:1624" from="463.338196pt,683.553833pt" to="517.650659pt,683.553833pt" stroked="true" strokeweight="1.681855pt" strokecolor="#000000">
            <v:stroke dashstyle="solid"/>
            <w10:wrap type="none"/>
          </v:line>
        </w:pict>
      </w:r>
      <w:r>
        <w:rPr/>
        <w:pict>
          <v:line style="position:absolute;mso-position-horizontal-relative:page;mso-position-vertical-relative:page;z-index:1648" from="365.287354pt,683.553833pt" to="416.715969pt,683.553833pt" stroked="true" strokeweight="2.40265pt" strokecolor="#000000">
            <v:stroke dashstyle="solid"/>
            <w10:wrap type="none"/>
          </v:line>
        </w:pict>
      </w:r>
    </w:p>
    <w:p>
      <w:pPr>
        <w:pStyle w:val="BodyText"/>
        <w:spacing w:before="2"/>
        <w:rPr>
          <w:sz w:val="28"/>
        </w:rPr>
      </w:pPr>
    </w:p>
    <w:p>
      <w:pPr>
        <w:spacing w:before="92"/>
        <w:ind w:left="2982" w:right="3590" w:firstLine="0"/>
        <w:jc w:val="center"/>
        <w:rPr>
          <w:sz w:val="19"/>
        </w:rPr>
      </w:pPr>
      <w:r>
        <w:rPr>
          <w:color w:val="212121"/>
          <w:w w:val="105"/>
          <w:sz w:val="19"/>
        </w:rPr>
        <w:t>PEOPLE WITH DISABILITIES </w:t>
      </w:r>
      <w:r>
        <w:rPr>
          <w:rFonts w:ascii="Times New Roman"/>
          <w:b/>
          <w:color w:val="212121"/>
          <w:w w:val="105"/>
          <w:sz w:val="21"/>
          <w:u w:val="thick" w:color="212121"/>
        </w:rPr>
        <w:t>(WA)</w:t>
      </w:r>
      <w:r>
        <w:rPr>
          <w:rFonts w:ascii="Times New Roman"/>
          <w:b/>
          <w:color w:val="212121"/>
          <w:w w:val="105"/>
          <w:sz w:val="21"/>
        </w:rPr>
        <w:t> </w:t>
      </w:r>
      <w:r>
        <w:rPr>
          <w:color w:val="212121"/>
          <w:w w:val="105"/>
          <w:sz w:val="19"/>
        </w:rPr>
        <w:t>INC</w:t>
      </w:r>
    </w:p>
    <w:p>
      <w:pPr>
        <w:tabs>
          <w:tab w:pos="4538" w:val="left" w:leader="none"/>
        </w:tabs>
        <w:spacing w:before="21"/>
        <w:ind w:left="3403" w:right="0" w:firstLine="0"/>
        <w:jc w:val="left"/>
        <w:rPr>
          <w:b/>
          <w:sz w:val="19"/>
        </w:rPr>
      </w:pPr>
      <w:r>
        <w:rPr>
          <w:b/>
          <w:color w:val="212121"/>
          <w:w w:val="100"/>
          <w:sz w:val="19"/>
          <w:u w:val="single" w:color="000000"/>
        </w:rPr>
        <w:t> </w:t>
      </w:r>
      <w:r>
        <w:rPr>
          <w:b/>
          <w:color w:val="212121"/>
          <w:sz w:val="19"/>
          <w:u w:val="single" w:color="000000"/>
        </w:rPr>
        <w:tab/>
      </w:r>
      <w:r>
        <w:rPr>
          <w:b/>
          <w:color w:val="212121"/>
          <w:w w:val="105"/>
          <w:sz w:val="19"/>
          <w:u w:val="single" w:color="000000"/>
        </w:rPr>
        <w:t>Balance</w:t>
      </w:r>
      <w:r>
        <w:rPr>
          <w:b/>
          <w:color w:val="212121"/>
          <w:spacing w:val="-5"/>
          <w:w w:val="105"/>
          <w:sz w:val="19"/>
          <w:u w:val="single" w:color="000000"/>
        </w:rPr>
        <w:t> </w:t>
      </w:r>
      <w:r>
        <w:rPr>
          <w:b/>
          <w:color w:val="212121"/>
          <w:w w:val="105"/>
          <w:sz w:val="19"/>
          <w:u w:val="single" w:color="000000"/>
        </w:rPr>
        <w:t>Sheet</w:t>
      </w:r>
      <w:r>
        <w:rPr>
          <w:b/>
          <w:color w:val="212121"/>
          <w:spacing w:val="11"/>
          <w:sz w:val="19"/>
          <w:u w:val="single" w:color="000000"/>
        </w:rPr>
        <w:t> </w:t>
      </w:r>
    </w:p>
    <w:p>
      <w:pPr>
        <w:spacing w:before="23"/>
        <w:ind w:left="2982" w:right="3587" w:firstLine="0"/>
        <w:jc w:val="center"/>
        <w:rPr>
          <w:rFonts w:ascii="Times New Roman"/>
          <w:sz w:val="20"/>
        </w:rPr>
      </w:pPr>
      <w:r>
        <w:rPr>
          <w:b/>
          <w:color w:val="212121"/>
          <w:w w:val="105"/>
          <w:sz w:val="19"/>
        </w:rPr>
        <w:t>As at </w:t>
      </w:r>
      <w:r>
        <w:rPr>
          <w:rFonts w:ascii="Times New Roman"/>
          <w:color w:val="212121"/>
          <w:w w:val="105"/>
          <w:sz w:val="20"/>
        </w:rPr>
        <w:t>30/06/2011</w:t>
      </w:r>
    </w:p>
    <w:p>
      <w:pPr>
        <w:pStyle w:val="BodyText"/>
        <w:spacing w:before="11"/>
        <w:rPr>
          <w:rFonts w:ascii="Times New Roman"/>
          <w:sz w:val="22"/>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5"/>
        <w:gridCol w:w="1491"/>
        <w:gridCol w:w="3121"/>
      </w:tblGrid>
      <w:tr>
        <w:trPr>
          <w:trHeight w:val="635" w:hRule="atLeast"/>
        </w:trPr>
        <w:tc>
          <w:tcPr>
            <w:tcW w:w="4525" w:type="dxa"/>
          </w:tcPr>
          <w:p>
            <w:pPr>
              <w:pStyle w:val="TableParagraph"/>
              <w:rPr>
                <w:rFonts w:ascii="Times New Roman"/>
                <w:sz w:val="18"/>
              </w:rPr>
            </w:pPr>
          </w:p>
        </w:tc>
        <w:tc>
          <w:tcPr>
            <w:tcW w:w="1491" w:type="dxa"/>
          </w:tcPr>
          <w:p>
            <w:pPr>
              <w:pStyle w:val="TableParagraph"/>
              <w:spacing w:before="5"/>
              <w:ind w:left="798" w:right="230"/>
              <w:jc w:val="center"/>
              <w:rPr>
                <w:sz w:val="19"/>
              </w:rPr>
            </w:pPr>
            <w:r>
              <w:rPr>
                <w:color w:val="212121"/>
                <w:w w:val="105"/>
                <w:sz w:val="19"/>
              </w:rPr>
              <w:t>Note</w:t>
            </w:r>
          </w:p>
        </w:tc>
        <w:tc>
          <w:tcPr>
            <w:tcW w:w="3121" w:type="dxa"/>
          </w:tcPr>
          <w:p>
            <w:pPr>
              <w:pStyle w:val="TableParagraph"/>
              <w:tabs>
                <w:tab w:pos="2008" w:val="left" w:leader="none"/>
              </w:tabs>
              <w:spacing w:line="226" w:lineRule="exact"/>
              <w:ind w:right="5"/>
              <w:jc w:val="center"/>
              <w:rPr>
                <w:rFonts w:ascii="Times New Roman"/>
                <w:sz w:val="20"/>
              </w:rPr>
            </w:pPr>
            <w:r>
              <w:rPr>
                <w:rFonts w:ascii="Times New Roman"/>
                <w:color w:val="343434"/>
                <w:w w:val="110"/>
                <w:sz w:val="20"/>
              </w:rPr>
              <w:t>2011</w:t>
              <w:tab/>
            </w:r>
            <w:r>
              <w:rPr>
                <w:rFonts w:ascii="Times New Roman"/>
                <w:color w:val="212121"/>
                <w:w w:val="110"/>
                <w:sz w:val="20"/>
              </w:rPr>
              <w:t>2010</w:t>
            </w:r>
          </w:p>
          <w:p>
            <w:pPr>
              <w:pStyle w:val="TableParagraph"/>
              <w:tabs>
                <w:tab w:pos="2018" w:val="left" w:leader="none"/>
              </w:tabs>
              <w:spacing w:before="5"/>
              <w:ind w:right="11"/>
              <w:jc w:val="center"/>
              <w:rPr>
                <w:rFonts w:ascii="Times New Roman"/>
                <w:sz w:val="22"/>
              </w:rPr>
            </w:pPr>
            <w:r>
              <w:rPr>
                <w:rFonts w:ascii="Times New Roman"/>
                <w:color w:val="343434"/>
                <w:w w:val="115"/>
                <w:sz w:val="22"/>
              </w:rPr>
              <w:t>$</w:t>
              <w:tab/>
            </w:r>
            <w:r>
              <w:rPr>
                <w:rFonts w:ascii="Times New Roman"/>
                <w:color w:val="212121"/>
                <w:w w:val="115"/>
                <w:position w:val="1"/>
                <w:sz w:val="22"/>
              </w:rPr>
              <w:t>$</w:t>
            </w:r>
          </w:p>
        </w:tc>
      </w:tr>
      <w:tr>
        <w:trPr>
          <w:trHeight w:val="483" w:hRule="atLeast"/>
        </w:trPr>
        <w:tc>
          <w:tcPr>
            <w:tcW w:w="4525" w:type="dxa"/>
          </w:tcPr>
          <w:p>
            <w:pPr>
              <w:pStyle w:val="TableParagraph"/>
              <w:spacing w:before="134"/>
              <w:ind w:left="50"/>
              <w:rPr>
                <w:b/>
                <w:sz w:val="19"/>
              </w:rPr>
            </w:pPr>
            <w:r>
              <w:rPr>
                <w:b/>
                <w:color w:val="212121"/>
                <w:sz w:val="19"/>
              </w:rPr>
              <w:t>Current Assets</w:t>
            </w:r>
          </w:p>
        </w:tc>
        <w:tc>
          <w:tcPr>
            <w:tcW w:w="1491" w:type="dxa"/>
          </w:tcPr>
          <w:p>
            <w:pPr>
              <w:pStyle w:val="TableParagraph"/>
              <w:rPr>
                <w:rFonts w:ascii="Times New Roman"/>
                <w:sz w:val="18"/>
              </w:rPr>
            </w:pPr>
          </w:p>
        </w:tc>
        <w:tc>
          <w:tcPr>
            <w:tcW w:w="3121" w:type="dxa"/>
          </w:tcPr>
          <w:p>
            <w:pPr>
              <w:pStyle w:val="TableParagraph"/>
              <w:rPr>
                <w:rFonts w:ascii="Times New Roman"/>
                <w:sz w:val="18"/>
              </w:rPr>
            </w:pPr>
          </w:p>
        </w:tc>
      </w:tr>
      <w:tr>
        <w:trPr>
          <w:trHeight w:val="372" w:hRule="atLeast"/>
        </w:trPr>
        <w:tc>
          <w:tcPr>
            <w:tcW w:w="4525" w:type="dxa"/>
          </w:tcPr>
          <w:p>
            <w:pPr>
              <w:pStyle w:val="TableParagraph"/>
              <w:spacing w:line="207" w:lineRule="exact" w:before="145"/>
              <w:ind w:left="50"/>
              <w:rPr>
                <w:sz w:val="19"/>
              </w:rPr>
            </w:pPr>
            <w:r>
              <w:rPr>
                <w:color w:val="343434"/>
                <w:w w:val="105"/>
                <w:sz w:val="19"/>
              </w:rPr>
              <w:t>Cash </w:t>
            </w:r>
            <w:r>
              <w:rPr>
                <w:color w:val="212121"/>
                <w:w w:val="105"/>
                <w:sz w:val="19"/>
              </w:rPr>
              <w:t>at Bank and on </w:t>
            </w:r>
            <w:r>
              <w:rPr>
                <w:color w:val="343434"/>
                <w:w w:val="105"/>
                <w:sz w:val="19"/>
              </w:rPr>
              <w:t>Hand</w:t>
            </w:r>
          </w:p>
        </w:tc>
        <w:tc>
          <w:tcPr>
            <w:tcW w:w="1491" w:type="dxa"/>
          </w:tcPr>
          <w:p>
            <w:pPr>
              <w:pStyle w:val="TableParagraph"/>
              <w:spacing w:line="207" w:lineRule="exact" w:before="145"/>
              <w:ind w:left="593"/>
              <w:jc w:val="center"/>
              <w:rPr>
                <w:sz w:val="19"/>
              </w:rPr>
            </w:pPr>
            <w:r>
              <w:rPr>
                <w:color w:val="212121"/>
                <w:w w:val="105"/>
                <w:sz w:val="19"/>
              </w:rPr>
              <w:t>3</w:t>
            </w:r>
          </w:p>
        </w:tc>
        <w:tc>
          <w:tcPr>
            <w:tcW w:w="3121" w:type="dxa"/>
          </w:tcPr>
          <w:p>
            <w:pPr>
              <w:pStyle w:val="TableParagraph"/>
              <w:tabs>
                <w:tab w:pos="2248" w:val="left" w:leader="none"/>
              </w:tabs>
              <w:spacing w:line="225" w:lineRule="exact" w:before="127"/>
              <w:ind w:left="226"/>
              <w:rPr>
                <w:rFonts w:ascii="Times New Roman"/>
                <w:sz w:val="20"/>
              </w:rPr>
            </w:pPr>
            <w:r>
              <w:rPr>
                <w:rFonts w:ascii="Times New Roman"/>
                <w:color w:val="212121"/>
                <w:w w:val="110"/>
                <w:sz w:val="20"/>
              </w:rPr>
              <w:t>335,105</w:t>
              <w:tab/>
            </w:r>
            <w:r>
              <w:rPr>
                <w:rFonts w:ascii="Times New Roman"/>
                <w:color w:val="343434"/>
                <w:w w:val="110"/>
                <w:sz w:val="20"/>
              </w:rPr>
              <w:t>297,813</w:t>
            </w:r>
          </w:p>
        </w:tc>
      </w:tr>
      <w:tr>
        <w:trPr>
          <w:trHeight w:val="247" w:hRule="atLeast"/>
        </w:trPr>
        <w:tc>
          <w:tcPr>
            <w:tcW w:w="4525" w:type="dxa"/>
          </w:tcPr>
          <w:p>
            <w:pPr>
              <w:pStyle w:val="TableParagraph"/>
              <w:spacing w:line="209" w:lineRule="exact" w:before="18"/>
              <w:ind w:left="59"/>
              <w:rPr>
                <w:sz w:val="19"/>
              </w:rPr>
            </w:pPr>
            <w:r>
              <w:rPr>
                <w:color w:val="212121"/>
                <w:w w:val="105"/>
                <w:sz w:val="19"/>
              </w:rPr>
              <w:t>GST </w:t>
            </w:r>
            <w:r>
              <w:rPr>
                <w:color w:val="343434"/>
                <w:w w:val="105"/>
                <w:sz w:val="19"/>
              </w:rPr>
              <w:t>- </w:t>
            </w:r>
            <w:r>
              <w:rPr>
                <w:color w:val="212121"/>
                <w:w w:val="105"/>
                <w:sz w:val="19"/>
              </w:rPr>
              <w:t>Input Tax credits</w:t>
            </w:r>
          </w:p>
        </w:tc>
        <w:tc>
          <w:tcPr>
            <w:tcW w:w="1491" w:type="dxa"/>
          </w:tcPr>
          <w:p>
            <w:pPr>
              <w:pStyle w:val="TableParagraph"/>
              <w:rPr>
                <w:rFonts w:ascii="Times New Roman"/>
                <w:sz w:val="18"/>
              </w:rPr>
            </w:pPr>
          </w:p>
        </w:tc>
        <w:tc>
          <w:tcPr>
            <w:tcW w:w="3121" w:type="dxa"/>
          </w:tcPr>
          <w:p>
            <w:pPr>
              <w:pStyle w:val="TableParagraph"/>
              <w:tabs>
                <w:tab w:pos="2461" w:val="left" w:leader="none"/>
              </w:tabs>
              <w:spacing w:line="223" w:lineRule="exact" w:before="5"/>
              <w:ind w:left="447"/>
              <w:rPr>
                <w:rFonts w:ascii="Times New Roman"/>
                <w:sz w:val="20"/>
              </w:rPr>
            </w:pPr>
            <w:r>
              <w:rPr>
                <w:rFonts w:ascii="Times New Roman"/>
                <w:color w:val="212121"/>
                <w:w w:val="110"/>
                <w:sz w:val="20"/>
              </w:rPr>
              <w:t>3</w:t>
            </w:r>
            <w:r>
              <w:rPr>
                <w:rFonts w:ascii="Times New Roman"/>
                <w:color w:val="494949"/>
                <w:w w:val="110"/>
                <w:sz w:val="20"/>
              </w:rPr>
              <w:t>,</w:t>
            </w:r>
            <w:r>
              <w:rPr>
                <w:rFonts w:ascii="Times New Roman"/>
                <w:color w:val="212121"/>
                <w:w w:val="110"/>
                <w:sz w:val="20"/>
              </w:rPr>
              <w:t>065</w:t>
              <w:tab/>
              <w:t>8,465</w:t>
            </w:r>
          </w:p>
        </w:tc>
      </w:tr>
      <w:tr>
        <w:trPr>
          <w:trHeight w:val="457" w:hRule="atLeast"/>
        </w:trPr>
        <w:tc>
          <w:tcPr>
            <w:tcW w:w="4525" w:type="dxa"/>
          </w:tcPr>
          <w:p>
            <w:pPr>
              <w:pStyle w:val="TableParagraph"/>
              <w:spacing w:before="15"/>
              <w:ind w:left="59"/>
              <w:rPr>
                <w:sz w:val="19"/>
              </w:rPr>
            </w:pPr>
            <w:r>
              <w:rPr>
                <w:color w:val="212121"/>
                <w:w w:val="105"/>
                <w:sz w:val="19"/>
              </w:rPr>
              <w:t>Debtors- </w:t>
            </w:r>
            <w:r>
              <w:rPr>
                <w:color w:val="343434"/>
                <w:w w:val="105"/>
                <w:sz w:val="19"/>
              </w:rPr>
              <w:t>and </w:t>
            </w:r>
            <w:r>
              <w:rPr>
                <w:color w:val="212121"/>
                <w:w w:val="105"/>
                <w:sz w:val="19"/>
              </w:rPr>
              <w:t>P</w:t>
            </w:r>
            <w:r>
              <w:rPr>
                <w:color w:val="494949"/>
                <w:w w:val="105"/>
                <w:sz w:val="19"/>
              </w:rPr>
              <w:t>re</w:t>
            </w:r>
            <w:r>
              <w:rPr>
                <w:color w:val="212121"/>
                <w:w w:val="105"/>
                <w:sz w:val="19"/>
              </w:rPr>
              <w:t>payments</w:t>
            </w:r>
          </w:p>
        </w:tc>
        <w:tc>
          <w:tcPr>
            <w:tcW w:w="1491" w:type="dxa"/>
          </w:tcPr>
          <w:p>
            <w:pPr>
              <w:pStyle w:val="TableParagraph"/>
              <w:rPr>
                <w:rFonts w:ascii="Times New Roman"/>
                <w:sz w:val="18"/>
              </w:rPr>
            </w:pPr>
          </w:p>
        </w:tc>
        <w:tc>
          <w:tcPr>
            <w:tcW w:w="3121" w:type="dxa"/>
            <w:tcBorders>
              <w:bottom w:val="single" w:sz="8" w:space="0" w:color="000000"/>
            </w:tcBorders>
          </w:tcPr>
          <w:p>
            <w:pPr>
              <w:pStyle w:val="TableParagraph"/>
              <w:tabs>
                <w:tab w:pos="2465" w:val="left" w:leader="none"/>
              </w:tabs>
              <w:spacing w:before="2"/>
              <w:ind w:left="615"/>
              <w:rPr>
                <w:rFonts w:ascii="Times New Roman"/>
                <w:sz w:val="20"/>
              </w:rPr>
            </w:pPr>
            <w:r>
              <w:rPr>
                <w:rFonts w:ascii="Times New Roman"/>
                <w:color w:val="343434"/>
                <w:w w:val="105"/>
                <w:sz w:val="20"/>
              </w:rPr>
              <w:t>400</w:t>
              <w:tab/>
            </w:r>
            <w:r>
              <w:rPr>
                <w:rFonts w:ascii="Times New Roman"/>
                <w:color w:val="212121"/>
                <w:spacing w:val="3"/>
                <w:w w:val="105"/>
                <w:sz w:val="20"/>
              </w:rPr>
              <w:t>3</w:t>
            </w:r>
            <w:r>
              <w:rPr>
                <w:rFonts w:ascii="Times New Roman"/>
                <w:color w:val="494949"/>
                <w:spacing w:val="3"/>
                <w:w w:val="105"/>
                <w:sz w:val="20"/>
              </w:rPr>
              <w:t>,</w:t>
            </w:r>
            <w:r>
              <w:rPr>
                <w:rFonts w:ascii="Times New Roman"/>
                <w:color w:val="212121"/>
                <w:spacing w:val="3"/>
                <w:w w:val="105"/>
                <w:sz w:val="20"/>
              </w:rPr>
              <w:t>3</w:t>
            </w:r>
            <w:r>
              <w:rPr>
                <w:rFonts w:ascii="Times New Roman"/>
                <w:color w:val="212121"/>
                <w:spacing w:val="-21"/>
                <w:w w:val="105"/>
                <w:sz w:val="20"/>
              </w:rPr>
              <w:t> </w:t>
            </w:r>
            <w:r>
              <w:rPr>
                <w:rFonts w:ascii="Times New Roman"/>
                <w:color w:val="212121"/>
                <w:w w:val="105"/>
                <w:sz w:val="20"/>
              </w:rPr>
              <w:t>46</w:t>
            </w:r>
          </w:p>
        </w:tc>
      </w:tr>
      <w:tr>
        <w:trPr>
          <w:trHeight w:val="390" w:hRule="atLeast"/>
        </w:trPr>
        <w:tc>
          <w:tcPr>
            <w:tcW w:w="4525" w:type="dxa"/>
          </w:tcPr>
          <w:p>
            <w:pPr>
              <w:pStyle w:val="TableParagraph"/>
              <w:spacing w:before="28"/>
              <w:ind w:left="1064"/>
              <w:rPr>
                <w:b/>
                <w:sz w:val="19"/>
              </w:rPr>
            </w:pPr>
            <w:r>
              <w:rPr>
                <w:b/>
                <w:color w:val="212121"/>
                <w:w w:val="105"/>
                <w:sz w:val="19"/>
              </w:rPr>
              <w:t>Total Current Assets</w:t>
            </w:r>
          </w:p>
        </w:tc>
        <w:tc>
          <w:tcPr>
            <w:tcW w:w="1491" w:type="dxa"/>
          </w:tcPr>
          <w:p>
            <w:pPr>
              <w:pStyle w:val="TableParagraph"/>
              <w:rPr>
                <w:rFonts w:ascii="Times New Roman"/>
                <w:sz w:val="18"/>
              </w:rPr>
            </w:pPr>
          </w:p>
        </w:tc>
        <w:tc>
          <w:tcPr>
            <w:tcW w:w="3121" w:type="dxa"/>
            <w:tcBorders>
              <w:top w:val="single" w:sz="8" w:space="0" w:color="000000"/>
            </w:tcBorders>
          </w:tcPr>
          <w:p>
            <w:pPr>
              <w:pStyle w:val="TableParagraph"/>
              <w:tabs>
                <w:tab w:pos="302" w:val="left" w:leader="none"/>
                <w:tab w:pos="2321" w:val="left" w:leader="none"/>
              </w:tabs>
              <w:spacing w:before="14"/>
              <w:ind w:left="-2" w:right="-15"/>
              <w:rPr>
                <w:rFonts w:ascii="Times New Roman"/>
                <w:sz w:val="20"/>
              </w:rPr>
            </w:pPr>
            <w:r>
              <w:rPr>
                <w:rFonts w:ascii="Times New Roman"/>
                <w:color w:val="212121"/>
                <w:w w:val="100"/>
                <w:sz w:val="20"/>
                <w:u w:val="single" w:color="000000"/>
              </w:rPr>
              <w:t> </w:t>
            </w:r>
            <w:r>
              <w:rPr>
                <w:rFonts w:ascii="Times New Roman"/>
                <w:color w:val="212121"/>
                <w:sz w:val="20"/>
                <w:u w:val="single" w:color="000000"/>
              </w:rPr>
              <w:tab/>
            </w:r>
            <w:r>
              <w:rPr>
                <w:rFonts w:ascii="Times New Roman"/>
                <w:color w:val="212121"/>
                <w:w w:val="105"/>
                <w:sz w:val="20"/>
                <w:u w:val="single" w:color="000000"/>
              </w:rPr>
              <w:t>338</w:t>
            </w:r>
            <w:r>
              <w:rPr>
                <w:rFonts w:ascii="Times New Roman"/>
                <w:color w:val="212121"/>
                <w:spacing w:val="-27"/>
                <w:w w:val="105"/>
                <w:sz w:val="20"/>
                <w:u w:val="single" w:color="000000"/>
              </w:rPr>
              <w:t> </w:t>
            </w:r>
            <w:r>
              <w:rPr>
                <w:rFonts w:ascii="Times New Roman"/>
                <w:color w:val="494949"/>
                <w:w w:val="105"/>
                <w:sz w:val="20"/>
                <w:u w:val="single" w:color="000000"/>
              </w:rPr>
              <w:t>,</w:t>
            </w:r>
            <w:r>
              <w:rPr>
                <w:rFonts w:ascii="Times New Roman"/>
                <w:color w:val="212121"/>
                <w:w w:val="105"/>
                <w:sz w:val="20"/>
                <w:u w:val="single" w:color="000000"/>
              </w:rPr>
              <w:t>570</w:t>
              <w:tab/>
              <w:t>309,624</w:t>
            </w:r>
            <w:r>
              <w:rPr>
                <w:rFonts w:ascii="Times New Roman"/>
                <w:color w:val="212121"/>
                <w:spacing w:val="-19"/>
                <w:sz w:val="20"/>
                <w:u w:val="single" w:color="000000"/>
              </w:rPr>
              <w:t> </w:t>
            </w:r>
          </w:p>
        </w:tc>
      </w:tr>
      <w:tr>
        <w:trPr>
          <w:trHeight w:val="491" w:hRule="atLeast"/>
        </w:trPr>
        <w:tc>
          <w:tcPr>
            <w:tcW w:w="4525" w:type="dxa"/>
          </w:tcPr>
          <w:p>
            <w:pPr>
              <w:pStyle w:val="TableParagraph"/>
              <w:spacing w:before="137"/>
              <w:ind w:left="64"/>
              <w:rPr>
                <w:b/>
                <w:sz w:val="19"/>
              </w:rPr>
            </w:pPr>
            <w:r>
              <w:rPr>
                <w:b/>
                <w:color w:val="212121"/>
                <w:w w:val="105"/>
                <w:sz w:val="19"/>
              </w:rPr>
              <w:t>Non-current Assets</w:t>
            </w:r>
          </w:p>
        </w:tc>
        <w:tc>
          <w:tcPr>
            <w:tcW w:w="1491" w:type="dxa"/>
          </w:tcPr>
          <w:p>
            <w:pPr>
              <w:pStyle w:val="TableParagraph"/>
              <w:rPr>
                <w:rFonts w:ascii="Times New Roman"/>
                <w:sz w:val="18"/>
              </w:rPr>
            </w:pPr>
          </w:p>
        </w:tc>
        <w:tc>
          <w:tcPr>
            <w:tcW w:w="3121" w:type="dxa"/>
          </w:tcPr>
          <w:p>
            <w:pPr>
              <w:pStyle w:val="TableParagraph"/>
              <w:rPr>
                <w:rFonts w:ascii="Times New Roman"/>
                <w:sz w:val="18"/>
              </w:rPr>
            </w:pPr>
          </w:p>
        </w:tc>
      </w:tr>
      <w:tr>
        <w:trPr>
          <w:trHeight w:val="578" w:hRule="atLeast"/>
        </w:trPr>
        <w:tc>
          <w:tcPr>
            <w:tcW w:w="4525" w:type="dxa"/>
          </w:tcPr>
          <w:p>
            <w:pPr>
              <w:pStyle w:val="TableParagraph"/>
              <w:spacing w:before="136"/>
              <w:ind w:left="64"/>
              <w:rPr>
                <w:sz w:val="19"/>
              </w:rPr>
            </w:pPr>
            <w:r>
              <w:rPr>
                <w:color w:val="343434"/>
                <w:w w:val="105"/>
                <w:sz w:val="19"/>
              </w:rPr>
              <w:t>Plant/Equ</w:t>
            </w:r>
            <w:r>
              <w:rPr>
                <w:color w:val="111111"/>
                <w:w w:val="105"/>
                <w:sz w:val="19"/>
              </w:rPr>
              <w:t>ip</w:t>
            </w:r>
            <w:r>
              <w:rPr>
                <w:color w:val="343434"/>
                <w:w w:val="105"/>
                <w:sz w:val="19"/>
              </w:rPr>
              <w:t>ment </w:t>
            </w:r>
            <w:r>
              <w:rPr>
                <w:color w:val="212121"/>
                <w:w w:val="105"/>
                <w:sz w:val="19"/>
              </w:rPr>
              <w:t>and Vehicles</w:t>
            </w:r>
          </w:p>
        </w:tc>
        <w:tc>
          <w:tcPr>
            <w:tcW w:w="1491" w:type="dxa"/>
          </w:tcPr>
          <w:p>
            <w:pPr>
              <w:pStyle w:val="TableParagraph"/>
              <w:spacing w:before="136"/>
              <w:ind w:left="613"/>
              <w:jc w:val="center"/>
              <w:rPr>
                <w:sz w:val="19"/>
              </w:rPr>
            </w:pPr>
            <w:r>
              <w:rPr>
                <w:color w:val="343434"/>
                <w:w w:val="101"/>
                <w:sz w:val="19"/>
              </w:rPr>
              <w:t>2</w:t>
            </w:r>
          </w:p>
        </w:tc>
        <w:tc>
          <w:tcPr>
            <w:tcW w:w="3121" w:type="dxa"/>
            <w:tcBorders>
              <w:bottom w:val="single" w:sz="8" w:space="0" w:color="000000"/>
            </w:tcBorders>
          </w:tcPr>
          <w:p>
            <w:pPr>
              <w:pStyle w:val="TableParagraph"/>
              <w:tabs>
                <w:tab w:pos="2440" w:val="left" w:leader="none"/>
              </w:tabs>
              <w:spacing w:before="127"/>
              <w:ind w:left="427"/>
              <w:rPr>
                <w:rFonts w:ascii="Times New Roman"/>
                <w:sz w:val="20"/>
              </w:rPr>
            </w:pPr>
            <w:r>
              <w:rPr>
                <w:rFonts w:ascii="Times New Roman"/>
                <w:color w:val="212121"/>
                <w:w w:val="110"/>
                <w:sz w:val="20"/>
              </w:rPr>
              <w:t>29</w:t>
            </w:r>
            <w:r>
              <w:rPr>
                <w:rFonts w:ascii="Times New Roman"/>
                <w:color w:val="494949"/>
                <w:w w:val="110"/>
                <w:sz w:val="20"/>
              </w:rPr>
              <w:t>,</w:t>
            </w:r>
            <w:r>
              <w:rPr>
                <w:rFonts w:ascii="Times New Roman"/>
                <w:color w:val="212121"/>
                <w:w w:val="110"/>
                <w:sz w:val="20"/>
              </w:rPr>
              <w:t>641</w:t>
              <w:tab/>
              <w:t>26</w:t>
            </w:r>
            <w:r>
              <w:rPr>
                <w:rFonts w:ascii="Times New Roman"/>
                <w:color w:val="494949"/>
                <w:w w:val="110"/>
                <w:sz w:val="20"/>
              </w:rPr>
              <w:t>,</w:t>
            </w:r>
            <w:r>
              <w:rPr>
                <w:rFonts w:ascii="Times New Roman"/>
                <w:color w:val="212121"/>
                <w:w w:val="110"/>
                <w:sz w:val="20"/>
              </w:rPr>
              <w:t>066</w:t>
            </w:r>
          </w:p>
        </w:tc>
      </w:tr>
      <w:tr>
        <w:trPr>
          <w:trHeight w:val="499" w:hRule="atLeast"/>
        </w:trPr>
        <w:tc>
          <w:tcPr>
            <w:tcW w:w="4525" w:type="dxa"/>
          </w:tcPr>
          <w:p>
            <w:pPr>
              <w:pStyle w:val="TableParagraph"/>
              <w:spacing w:before="28"/>
              <w:ind w:left="1074"/>
              <w:rPr>
                <w:b/>
                <w:sz w:val="19"/>
              </w:rPr>
            </w:pPr>
            <w:r>
              <w:rPr>
                <w:b/>
                <w:color w:val="212121"/>
                <w:w w:val="105"/>
                <w:sz w:val="19"/>
              </w:rPr>
              <w:t>Total Non-current Assets</w:t>
            </w:r>
          </w:p>
        </w:tc>
        <w:tc>
          <w:tcPr>
            <w:tcW w:w="1491" w:type="dxa"/>
          </w:tcPr>
          <w:p>
            <w:pPr>
              <w:pStyle w:val="TableParagraph"/>
              <w:rPr>
                <w:rFonts w:ascii="Times New Roman"/>
                <w:sz w:val="18"/>
              </w:rPr>
            </w:pPr>
          </w:p>
        </w:tc>
        <w:tc>
          <w:tcPr>
            <w:tcW w:w="3121" w:type="dxa"/>
            <w:tcBorders>
              <w:top w:val="single" w:sz="8" w:space="0" w:color="000000"/>
            </w:tcBorders>
          </w:tcPr>
          <w:p>
            <w:pPr>
              <w:pStyle w:val="TableParagraph"/>
              <w:tabs>
                <w:tab w:pos="431" w:val="left" w:leader="none"/>
                <w:tab w:pos="2450" w:val="left" w:leader="none"/>
              </w:tabs>
              <w:spacing w:before="10"/>
              <w:ind w:left="-2" w:right="-15"/>
              <w:rPr>
                <w:rFonts w:ascii="Times New Roman"/>
                <w:sz w:val="20"/>
              </w:rPr>
            </w:pPr>
            <w:r>
              <w:rPr>
                <w:rFonts w:ascii="Times New Roman"/>
                <w:color w:val="212121"/>
                <w:w w:val="100"/>
                <w:sz w:val="20"/>
                <w:u w:val="single" w:color="000000"/>
              </w:rPr>
              <w:t> </w:t>
            </w:r>
            <w:r>
              <w:rPr>
                <w:rFonts w:ascii="Times New Roman"/>
                <w:color w:val="212121"/>
                <w:sz w:val="20"/>
                <w:u w:val="single" w:color="000000"/>
              </w:rPr>
              <w:tab/>
            </w:r>
            <w:r>
              <w:rPr>
                <w:rFonts w:ascii="Times New Roman"/>
                <w:color w:val="212121"/>
                <w:w w:val="110"/>
                <w:sz w:val="20"/>
                <w:u w:val="single" w:color="000000"/>
              </w:rPr>
              <w:t>29,641</w:t>
              <w:tab/>
              <w:t>26,066</w:t>
            </w:r>
            <w:r>
              <w:rPr>
                <w:rFonts w:ascii="Times New Roman"/>
                <w:color w:val="212121"/>
                <w:spacing w:val="11"/>
                <w:sz w:val="20"/>
                <w:u w:val="single" w:color="000000"/>
              </w:rPr>
              <w:t> </w:t>
            </w:r>
          </w:p>
        </w:tc>
      </w:tr>
      <w:tr>
        <w:trPr>
          <w:trHeight w:val="625" w:hRule="atLeast"/>
        </w:trPr>
        <w:tc>
          <w:tcPr>
            <w:tcW w:w="4525" w:type="dxa"/>
          </w:tcPr>
          <w:p>
            <w:pPr>
              <w:pStyle w:val="TableParagraph"/>
              <w:spacing w:before="10"/>
              <w:rPr>
                <w:rFonts w:ascii="Times New Roman"/>
                <w:sz w:val="22"/>
              </w:rPr>
            </w:pPr>
          </w:p>
          <w:p>
            <w:pPr>
              <w:pStyle w:val="TableParagraph"/>
              <w:ind w:left="74"/>
              <w:rPr>
                <w:b/>
                <w:sz w:val="19"/>
              </w:rPr>
            </w:pPr>
            <w:r>
              <w:rPr>
                <w:b/>
                <w:color w:val="212121"/>
                <w:w w:val="105"/>
                <w:sz w:val="19"/>
              </w:rPr>
              <w:t>Total Assets</w:t>
            </w:r>
          </w:p>
        </w:tc>
        <w:tc>
          <w:tcPr>
            <w:tcW w:w="1491" w:type="dxa"/>
          </w:tcPr>
          <w:p>
            <w:pPr>
              <w:pStyle w:val="TableParagraph"/>
              <w:rPr>
                <w:rFonts w:ascii="Times New Roman"/>
                <w:sz w:val="18"/>
              </w:rPr>
            </w:pPr>
          </w:p>
        </w:tc>
        <w:tc>
          <w:tcPr>
            <w:tcW w:w="3121" w:type="dxa"/>
          </w:tcPr>
          <w:p>
            <w:pPr>
              <w:pStyle w:val="TableParagraph"/>
              <w:spacing w:before="3"/>
              <w:rPr>
                <w:rFonts w:ascii="Times New Roman"/>
                <w:sz w:val="21"/>
              </w:rPr>
            </w:pPr>
          </w:p>
          <w:p>
            <w:pPr>
              <w:pStyle w:val="TableParagraph"/>
              <w:tabs>
                <w:tab w:pos="322" w:val="left" w:leader="none"/>
                <w:tab w:pos="1733" w:val="left" w:leader="none"/>
                <w:tab w:pos="2340" w:val="left" w:leader="none"/>
              </w:tabs>
              <w:ind w:left="-2"/>
              <w:rPr>
                <w:rFonts w:ascii="Times New Roman"/>
                <w:sz w:val="20"/>
              </w:rPr>
            </w:pPr>
            <w:r>
              <w:rPr>
                <w:rFonts w:ascii="Times New Roman"/>
                <w:color w:val="212121"/>
                <w:w w:val="100"/>
                <w:sz w:val="20"/>
                <w:u w:val="single" w:color="000000"/>
              </w:rPr>
              <w:t> </w:t>
            </w:r>
            <w:r>
              <w:rPr>
                <w:rFonts w:ascii="Times New Roman"/>
                <w:color w:val="212121"/>
                <w:sz w:val="20"/>
                <w:u w:val="single" w:color="000000"/>
              </w:rPr>
              <w:tab/>
            </w:r>
            <w:r>
              <w:rPr>
                <w:rFonts w:ascii="Times New Roman"/>
                <w:color w:val="212121"/>
                <w:w w:val="110"/>
                <w:sz w:val="20"/>
                <w:u w:val="single" w:color="000000"/>
              </w:rPr>
              <w:t>368,211</w:t>
              <w:tab/>
            </w:r>
            <w:r>
              <w:rPr>
                <w:rFonts w:ascii="Times New Roman"/>
                <w:color w:val="212121"/>
                <w:w w:val="110"/>
                <w:sz w:val="20"/>
              </w:rPr>
              <w:tab/>
              <w:t>335,691</w:t>
            </w:r>
          </w:p>
        </w:tc>
      </w:tr>
      <w:tr>
        <w:trPr>
          <w:trHeight w:val="491" w:hRule="atLeast"/>
        </w:trPr>
        <w:tc>
          <w:tcPr>
            <w:tcW w:w="4525" w:type="dxa"/>
          </w:tcPr>
          <w:p>
            <w:pPr>
              <w:pStyle w:val="TableParagraph"/>
              <w:spacing w:before="137"/>
              <w:ind w:left="79"/>
              <w:rPr>
                <w:b/>
                <w:sz w:val="19"/>
              </w:rPr>
            </w:pPr>
            <w:r>
              <w:rPr>
                <w:b/>
                <w:color w:val="212121"/>
                <w:w w:val="105"/>
                <w:sz w:val="19"/>
              </w:rPr>
              <w:t>Current Liabilities</w:t>
            </w:r>
          </w:p>
        </w:tc>
        <w:tc>
          <w:tcPr>
            <w:tcW w:w="1491" w:type="dxa"/>
          </w:tcPr>
          <w:p>
            <w:pPr>
              <w:pStyle w:val="TableParagraph"/>
              <w:rPr>
                <w:rFonts w:ascii="Times New Roman"/>
                <w:sz w:val="18"/>
              </w:rPr>
            </w:pPr>
          </w:p>
        </w:tc>
        <w:tc>
          <w:tcPr>
            <w:tcW w:w="3121" w:type="dxa"/>
          </w:tcPr>
          <w:p>
            <w:pPr>
              <w:pStyle w:val="TableParagraph"/>
              <w:rPr>
                <w:rFonts w:ascii="Times New Roman"/>
                <w:sz w:val="18"/>
              </w:rPr>
            </w:pPr>
          </w:p>
        </w:tc>
      </w:tr>
      <w:tr>
        <w:trPr>
          <w:trHeight w:val="379" w:hRule="atLeast"/>
        </w:trPr>
        <w:tc>
          <w:tcPr>
            <w:tcW w:w="4525" w:type="dxa"/>
          </w:tcPr>
          <w:p>
            <w:pPr>
              <w:pStyle w:val="TableParagraph"/>
              <w:spacing w:line="209" w:lineRule="exact" w:before="150"/>
              <w:ind w:left="79"/>
              <w:rPr>
                <w:sz w:val="19"/>
              </w:rPr>
            </w:pPr>
            <w:r>
              <w:rPr>
                <w:color w:val="212121"/>
                <w:w w:val="105"/>
                <w:sz w:val="19"/>
              </w:rPr>
              <w:t>Sundry Creditors and Accrued </w:t>
            </w:r>
            <w:r>
              <w:rPr>
                <w:color w:val="343434"/>
                <w:w w:val="105"/>
                <w:sz w:val="19"/>
              </w:rPr>
              <w:t>Expenses</w:t>
            </w:r>
          </w:p>
        </w:tc>
        <w:tc>
          <w:tcPr>
            <w:tcW w:w="1491" w:type="dxa"/>
          </w:tcPr>
          <w:p>
            <w:pPr>
              <w:pStyle w:val="TableParagraph"/>
              <w:spacing w:line="223" w:lineRule="exact" w:before="137"/>
              <w:ind w:left="652"/>
              <w:jc w:val="center"/>
              <w:rPr>
                <w:rFonts w:ascii="Times New Roman"/>
                <w:sz w:val="20"/>
              </w:rPr>
            </w:pPr>
            <w:r>
              <w:rPr>
                <w:rFonts w:ascii="Times New Roman"/>
                <w:color w:val="343434"/>
                <w:w w:val="103"/>
                <w:sz w:val="20"/>
              </w:rPr>
              <w:t>4</w:t>
            </w:r>
          </w:p>
        </w:tc>
        <w:tc>
          <w:tcPr>
            <w:tcW w:w="3121" w:type="dxa"/>
          </w:tcPr>
          <w:p>
            <w:pPr>
              <w:pStyle w:val="TableParagraph"/>
              <w:tabs>
                <w:tab w:pos="2378" w:val="left" w:leader="none"/>
              </w:tabs>
              <w:spacing w:line="227" w:lineRule="exact" w:before="132"/>
              <w:ind w:left="374"/>
              <w:rPr>
                <w:rFonts w:ascii="Times New Roman"/>
                <w:sz w:val="20"/>
              </w:rPr>
            </w:pPr>
            <w:r>
              <w:rPr>
                <w:rFonts w:ascii="Times New Roman"/>
                <w:color w:val="212121"/>
                <w:w w:val="115"/>
                <w:sz w:val="20"/>
              </w:rPr>
              <w:t>17,605</w:t>
              <w:tab/>
              <w:t>12,687</w:t>
            </w:r>
          </w:p>
        </w:tc>
      </w:tr>
      <w:tr>
        <w:trPr>
          <w:trHeight w:val="249" w:hRule="atLeast"/>
        </w:trPr>
        <w:tc>
          <w:tcPr>
            <w:tcW w:w="4525" w:type="dxa"/>
          </w:tcPr>
          <w:p>
            <w:pPr>
              <w:pStyle w:val="TableParagraph"/>
              <w:spacing w:line="209" w:lineRule="exact" w:before="20"/>
              <w:ind w:left="80"/>
              <w:rPr>
                <w:sz w:val="19"/>
              </w:rPr>
            </w:pPr>
            <w:r>
              <w:rPr>
                <w:color w:val="343434"/>
                <w:w w:val="105"/>
                <w:sz w:val="19"/>
              </w:rPr>
              <w:t>Income </w:t>
            </w:r>
            <w:r>
              <w:rPr>
                <w:color w:val="212121"/>
                <w:w w:val="105"/>
                <w:sz w:val="19"/>
              </w:rPr>
              <w:t>Rece </w:t>
            </w:r>
            <w:r>
              <w:rPr>
                <w:color w:val="494949"/>
                <w:w w:val="105"/>
                <w:sz w:val="19"/>
              </w:rPr>
              <w:t>iv</w:t>
            </w:r>
            <w:r>
              <w:rPr>
                <w:color w:val="212121"/>
                <w:w w:val="105"/>
                <w:sz w:val="19"/>
              </w:rPr>
              <w:t>ed in Advance</w:t>
            </w:r>
          </w:p>
        </w:tc>
        <w:tc>
          <w:tcPr>
            <w:tcW w:w="1491" w:type="dxa"/>
          </w:tcPr>
          <w:p>
            <w:pPr>
              <w:pStyle w:val="TableParagraph"/>
              <w:spacing w:line="209" w:lineRule="exact" w:before="20"/>
              <w:ind w:left="675"/>
              <w:jc w:val="center"/>
              <w:rPr>
                <w:sz w:val="19"/>
              </w:rPr>
            </w:pPr>
            <w:r>
              <w:rPr>
                <w:color w:val="343434"/>
                <w:w w:val="110"/>
                <w:sz w:val="19"/>
              </w:rPr>
              <w:t>5</w:t>
            </w:r>
          </w:p>
        </w:tc>
        <w:tc>
          <w:tcPr>
            <w:tcW w:w="3121" w:type="dxa"/>
          </w:tcPr>
          <w:p>
            <w:pPr>
              <w:pStyle w:val="TableParagraph"/>
              <w:tabs>
                <w:tab w:pos="2394" w:val="left" w:leader="none"/>
              </w:tabs>
              <w:spacing w:line="227" w:lineRule="exact" w:before="2"/>
              <w:ind w:left="379"/>
              <w:rPr>
                <w:rFonts w:ascii="Times New Roman"/>
                <w:sz w:val="20"/>
              </w:rPr>
            </w:pPr>
            <w:r>
              <w:rPr>
                <w:rFonts w:ascii="Times New Roman"/>
                <w:color w:val="212121"/>
                <w:w w:val="110"/>
                <w:sz w:val="20"/>
              </w:rPr>
              <w:t>37</w:t>
            </w:r>
            <w:r>
              <w:rPr>
                <w:rFonts w:ascii="Times New Roman"/>
                <w:color w:val="494949"/>
                <w:w w:val="110"/>
                <w:sz w:val="20"/>
              </w:rPr>
              <w:t>,</w:t>
            </w:r>
            <w:r>
              <w:rPr>
                <w:rFonts w:ascii="Times New Roman"/>
                <w:color w:val="212121"/>
                <w:w w:val="110"/>
                <w:sz w:val="20"/>
              </w:rPr>
              <w:t>950</w:t>
              <w:tab/>
              <w:t>81,875</w:t>
            </w:r>
          </w:p>
        </w:tc>
      </w:tr>
      <w:tr>
        <w:trPr>
          <w:trHeight w:val="252" w:hRule="atLeast"/>
        </w:trPr>
        <w:tc>
          <w:tcPr>
            <w:tcW w:w="4525" w:type="dxa"/>
          </w:tcPr>
          <w:p>
            <w:pPr>
              <w:pStyle w:val="TableParagraph"/>
              <w:spacing w:line="207" w:lineRule="exact" w:before="25"/>
              <w:ind w:left="87"/>
              <w:rPr>
                <w:sz w:val="19"/>
              </w:rPr>
            </w:pPr>
            <w:r>
              <w:rPr>
                <w:color w:val="212121"/>
                <w:sz w:val="19"/>
              </w:rPr>
              <w:t>GST </w:t>
            </w:r>
            <w:r>
              <w:rPr>
                <w:color w:val="343434"/>
                <w:sz w:val="19"/>
              </w:rPr>
              <w:t>- </w:t>
            </w:r>
            <w:r>
              <w:rPr>
                <w:color w:val="212121"/>
                <w:sz w:val="19"/>
              </w:rPr>
              <w:t>collected</w:t>
            </w:r>
          </w:p>
        </w:tc>
        <w:tc>
          <w:tcPr>
            <w:tcW w:w="1491" w:type="dxa"/>
          </w:tcPr>
          <w:p>
            <w:pPr>
              <w:pStyle w:val="TableParagraph"/>
              <w:rPr>
                <w:rFonts w:ascii="Times New Roman"/>
                <w:sz w:val="18"/>
              </w:rPr>
            </w:pPr>
          </w:p>
        </w:tc>
        <w:tc>
          <w:tcPr>
            <w:tcW w:w="3121" w:type="dxa"/>
          </w:tcPr>
          <w:p>
            <w:pPr>
              <w:pStyle w:val="TableParagraph"/>
              <w:tabs>
                <w:tab w:pos="2402" w:val="left" w:leader="none"/>
              </w:tabs>
              <w:spacing w:before="2"/>
              <w:ind w:left="374"/>
              <w:rPr>
                <w:rFonts w:ascii="Times New Roman"/>
                <w:sz w:val="20"/>
              </w:rPr>
            </w:pPr>
            <w:r>
              <w:rPr>
                <w:rFonts w:ascii="Times New Roman"/>
                <w:color w:val="212121"/>
                <w:w w:val="110"/>
                <w:sz w:val="20"/>
              </w:rPr>
              <w:t>14,120</w:t>
              <w:tab/>
              <w:t>18,630</w:t>
            </w:r>
          </w:p>
        </w:tc>
      </w:tr>
      <w:tr>
        <w:trPr>
          <w:trHeight w:val="251" w:hRule="atLeast"/>
        </w:trPr>
        <w:tc>
          <w:tcPr>
            <w:tcW w:w="4525" w:type="dxa"/>
          </w:tcPr>
          <w:p>
            <w:pPr>
              <w:pStyle w:val="TableParagraph"/>
              <w:spacing w:line="223" w:lineRule="exact" w:before="8"/>
              <w:ind w:left="83"/>
              <w:rPr>
                <w:sz w:val="19"/>
              </w:rPr>
            </w:pPr>
            <w:r>
              <w:rPr>
                <w:color w:val="343434"/>
                <w:w w:val="105"/>
                <w:sz w:val="19"/>
              </w:rPr>
              <w:t>Provisions - </w:t>
            </w:r>
            <w:r>
              <w:rPr>
                <w:color w:val="212121"/>
                <w:w w:val="105"/>
                <w:sz w:val="19"/>
              </w:rPr>
              <w:t>Annual </w:t>
            </w:r>
            <w:r>
              <w:rPr>
                <w:color w:val="343434"/>
                <w:w w:val="105"/>
                <w:sz w:val="19"/>
              </w:rPr>
              <w:t>Leave </w:t>
            </w:r>
            <w:r>
              <w:rPr>
                <w:color w:val="212121"/>
                <w:w w:val="105"/>
                <w:sz w:val="20"/>
              </w:rPr>
              <w:t>&amp; </w:t>
            </w:r>
            <w:r>
              <w:rPr>
                <w:color w:val="212121"/>
                <w:w w:val="105"/>
                <w:sz w:val="19"/>
              </w:rPr>
              <w:t>Sick Leave</w:t>
            </w:r>
          </w:p>
        </w:tc>
        <w:tc>
          <w:tcPr>
            <w:tcW w:w="1491" w:type="dxa"/>
          </w:tcPr>
          <w:p>
            <w:pPr>
              <w:pStyle w:val="TableParagraph"/>
              <w:spacing w:line="217" w:lineRule="exact" w:before="14"/>
              <w:ind w:left="663"/>
              <w:jc w:val="center"/>
              <w:rPr>
                <w:rFonts w:ascii="Times New Roman"/>
                <w:sz w:val="20"/>
              </w:rPr>
            </w:pPr>
            <w:r>
              <w:rPr>
                <w:rFonts w:ascii="Times New Roman"/>
                <w:color w:val="212121"/>
                <w:w w:val="105"/>
                <w:sz w:val="20"/>
              </w:rPr>
              <w:t>6</w:t>
            </w:r>
          </w:p>
        </w:tc>
        <w:tc>
          <w:tcPr>
            <w:tcW w:w="3121" w:type="dxa"/>
          </w:tcPr>
          <w:p>
            <w:pPr>
              <w:pStyle w:val="TableParagraph"/>
              <w:tabs>
                <w:tab w:pos="2401" w:val="left" w:leader="none"/>
              </w:tabs>
              <w:ind w:left="384"/>
              <w:rPr>
                <w:sz w:val="19"/>
              </w:rPr>
            </w:pPr>
            <w:r>
              <w:rPr>
                <w:rFonts w:ascii="Times New Roman"/>
                <w:color w:val="212121"/>
                <w:w w:val="105"/>
                <w:sz w:val="20"/>
              </w:rPr>
              <w:t>41,371</w:t>
              <w:tab/>
            </w:r>
            <w:r>
              <w:rPr>
                <w:color w:val="212121"/>
                <w:w w:val="105"/>
                <w:sz w:val="19"/>
              </w:rPr>
              <w:t>28,711</w:t>
            </w:r>
          </w:p>
        </w:tc>
      </w:tr>
      <w:tr>
        <w:trPr>
          <w:trHeight w:val="708" w:hRule="atLeast"/>
        </w:trPr>
        <w:tc>
          <w:tcPr>
            <w:tcW w:w="4525" w:type="dxa"/>
          </w:tcPr>
          <w:p>
            <w:pPr>
              <w:pStyle w:val="TableParagraph"/>
              <w:numPr>
                <w:ilvl w:val="0"/>
                <w:numId w:val="5"/>
              </w:numPr>
              <w:tabs>
                <w:tab w:pos="1209" w:val="left" w:leader="none"/>
              </w:tabs>
              <w:spacing w:line="240" w:lineRule="auto" w:before="16" w:after="0"/>
              <w:ind w:left="1208" w:right="0" w:hanging="117"/>
              <w:jc w:val="left"/>
              <w:rPr>
                <w:sz w:val="19"/>
              </w:rPr>
            </w:pPr>
            <w:r>
              <w:rPr>
                <w:color w:val="212121"/>
                <w:w w:val="105"/>
                <w:sz w:val="19"/>
              </w:rPr>
              <w:t>Long Service</w:t>
            </w:r>
            <w:r>
              <w:rPr>
                <w:color w:val="212121"/>
                <w:spacing w:val="-9"/>
                <w:w w:val="105"/>
                <w:sz w:val="19"/>
              </w:rPr>
              <w:t> </w:t>
            </w:r>
            <w:r>
              <w:rPr>
                <w:color w:val="343434"/>
                <w:w w:val="105"/>
                <w:sz w:val="19"/>
              </w:rPr>
              <w:t>Leave</w:t>
            </w:r>
          </w:p>
          <w:p>
            <w:pPr>
              <w:pStyle w:val="TableParagraph"/>
              <w:numPr>
                <w:ilvl w:val="0"/>
                <w:numId w:val="5"/>
              </w:numPr>
              <w:tabs>
                <w:tab w:pos="1218" w:val="left" w:leader="none"/>
              </w:tabs>
              <w:spacing w:line="240" w:lineRule="auto" w:before="32" w:after="0"/>
              <w:ind w:left="1217" w:right="0" w:hanging="121"/>
              <w:jc w:val="left"/>
              <w:rPr>
                <w:sz w:val="19"/>
              </w:rPr>
            </w:pPr>
            <w:r>
              <w:rPr>
                <w:color w:val="212121"/>
                <w:w w:val="105"/>
                <w:sz w:val="19"/>
              </w:rPr>
              <w:t>Refurbishment</w:t>
            </w:r>
          </w:p>
        </w:tc>
        <w:tc>
          <w:tcPr>
            <w:tcW w:w="1491" w:type="dxa"/>
          </w:tcPr>
          <w:p>
            <w:pPr>
              <w:pStyle w:val="TableParagraph"/>
              <w:spacing w:before="13"/>
              <w:ind w:left="681"/>
              <w:jc w:val="center"/>
              <w:rPr>
                <w:rFonts w:ascii="Times New Roman"/>
                <w:sz w:val="20"/>
              </w:rPr>
            </w:pPr>
            <w:r>
              <w:rPr>
                <w:rFonts w:ascii="Times New Roman"/>
                <w:color w:val="212121"/>
                <w:w w:val="104"/>
                <w:sz w:val="20"/>
              </w:rPr>
              <w:t>6</w:t>
            </w:r>
          </w:p>
        </w:tc>
        <w:tc>
          <w:tcPr>
            <w:tcW w:w="3121" w:type="dxa"/>
            <w:tcBorders>
              <w:bottom w:val="single" w:sz="4" w:space="0" w:color="000000"/>
            </w:tcBorders>
          </w:tcPr>
          <w:p>
            <w:pPr>
              <w:pStyle w:val="TableParagraph"/>
              <w:tabs>
                <w:tab w:pos="2402" w:val="left" w:leader="none"/>
              </w:tabs>
              <w:spacing w:line="229" w:lineRule="exact"/>
              <w:ind w:left="379"/>
              <w:rPr>
                <w:rFonts w:ascii="Times New Roman"/>
                <w:sz w:val="20"/>
              </w:rPr>
            </w:pPr>
            <w:r>
              <w:rPr>
                <w:rFonts w:ascii="Times New Roman"/>
                <w:color w:val="212121"/>
                <w:w w:val="115"/>
                <w:sz w:val="20"/>
              </w:rPr>
              <w:t>16,218</w:t>
              <w:tab/>
              <w:t>10,063</w:t>
            </w:r>
          </w:p>
          <w:p>
            <w:pPr>
              <w:pStyle w:val="TableParagraph"/>
              <w:tabs>
                <w:tab w:pos="2388" w:val="left" w:leader="none"/>
              </w:tabs>
              <w:spacing w:before="24"/>
              <w:ind w:left="388"/>
              <w:rPr>
                <w:rFonts w:ascii="Times New Roman"/>
                <w:sz w:val="20"/>
              </w:rPr>
            </w:pPr>
            <w:r>
              <w:rPr>
                <w:rFonts w:ascii="Times New Roman"/>
                <w:color w:val="212121"/>
                <w:w w:val="110"/>
                <w:sz w:val="20"/>
              </w:rPr>
              <w:t>21,580</w:t>
              <w:tab/>
              <w:t>'21,580</w:t>
            </w:r>
          </w:p>
        </w:tc>
      </w:tr>
      <w:tr>
        <w:trPr>
          <w:trHeight w:val="414" w:hRule="atLeast"/>
        </w:trPr>
        <w:tc>
          <w:tcPr>
            <w:tcW w:w="4525" w:type="dxa"/>
          </w:tcPr>
          <w:p>
            <w:pPr>
              <w:pStyle w:val="TableParagraph"/>
              <w:spacing w:before="52"/>
              <w:ind w:left="1093"/>
              <w:rPr>
                <w:b/>
                <w:sz w:val="19"/>
              </w:rPr>
            </w:pPr>
            <w:r>
              <w:rPr>
                <w:b/>
                <w:color w:val="212121"/>
                <w:w w:val="105"/>
                <w:sz w:val="19"/>
              </w:rPr>
              <w:t>Total current liabilities</w:t>
            </w:r>
          </w:p>
        </w:tc>
        <w:tc>
          <w:tcPr>
            <w:tcW w:w="1491" w:type="dxa"/>
          </w:tcPr>
          <w:p>
            <w:pPr>
              <w:pStyle w:val="TableParagraph"/>
              <w:rPr>
                <w:rFonts w:ascii="Times New Roman"/>
                <w:sz w:val="18"/>
              </w:rPr>
            </w:pPr>
          </w:p>
        </w:tc>
        <w:tc>
          <w:tcPr>
            <w:tcW w:w="3121" w:type="dxa"/>
            <w:tcBorders>
              <w:top w:val="single" w:sz="4" w:space="0" w:color="000000"/>
            </w:tcBorders>
          </w:tcPr>
          <w:p>
            <w:pPr>
              <w:pStyle w:val="TableParagraph"/>
              <w:tabs>
                <w:tab w:pos="278" w:val="left" w:leader="none"/>
                <w:tab w:pos="2296" w:val="left" w:leader="none"/>
              </w:tabs>
              <w:spacing w:before="34"/>
              <w:ind w:left="-2" w:right="-15"/>
              <w:rPr>
                <w:rFonts w:ascii="Times New Roman"/>
                <w:sz w:val="20"/>
              </w:rPr>
            </w:pPr>
            <w:r>
              <w:rPr>
                <w:rFonts w:ascii="Times New Roman"/>
                <w:color w:val="343434"/>
                <w:w w:val="100"/>
                <w:sz w:val="20"/>
                <w:u w:val="single" w:color="000000"/>
              </w:rPr>
              <w:t> </w:t>
            </w:r>
            <w:r>
              <w:rPr>
                <w:rFonts w:ascii="Times New Roman"/>
                <w:color w:val="343434"/>
                <w:sz w:val="20"/>
                <w:u w:val="single" w:color="000000"/>
              </w:rPr>
              <w:tab/>
            </w:r>
            <w:r>
              <w:rPr>
                <w:rFonts w:ascii="Times New Roman"/>
                <w:color w:val="343434"/>
                <w:w w:val="110"/>
                <w:sz w:val="20"/>
                <w:u w:val="single" w:color="000000"/>
              </w:rPr>
              <w:t>148,844</w:t>
              <w:tab/>
              <w:t>173,546</w:t>
            </w:r>
            <w:r>
              <w:rPr>
                <w:rFonts w:ascii="Times New Roman"/>
                <w:color w:val="343434"/>
                <w:spacing w:val="2"/>
                <w:sz w:val="20"/>
                <w:u w:val="single" w:color="000000"/>
              </w:rPr>
              <w:t> </w:t>
            </w:r>
          </w:p>
        </w:tc>
      </w:tr>
      <w:tr>
        <w:trPr>
          <w:trHeight w:val="487" w:hRule="atLeast"/>
        </w:trPr>
        <w:tc>
          <w:tcPr>
            <w:tcW w:w="4525" w:type="dxa"/>
          </w:tcPr>
          <w:p>
            <w:pPr>
              <w:pStyle w:val="TableParagraph"/>
              <w:spacing w:before="137"/>
              <w:ind w:left="93"/>
              <w:rPr>
                <w:b/>
                <w:sz w:val="19"/>
              </w:rPr>
            </w:pPr>
            <w:r>
              <w:rPr>
                <w:b/>
                <w:color w:val="212121"/>
                <w:w w:val="105"/>
                <w:sz w:val="19"/>
              </w:rPr>
              <w:t>Non Current Liabilities</w:t>
            </w:r>
          </w:p>
        </w:tc>
        <w:tc>
          <w:tcPr>
            <w:tcW w:w="1491" w:type="dxa"/>
          </w:tcPr>
          <w:p>
            <w:pPr>
              <w:pStyle w:val="TableParagraph"/>
              <w:rPr>
                <w:rFonts w:ascii="Times New Roman"/>
                <w:sz w:val="18"/>
              </w:rPr>
            </w:pPr>
          </w:p>
        </w:tc>
        <w:tc>
          <w:tcPr>
            <w:tcW w:w="3121" w:type="dxa"/>
          </w:tcPr>
          <w:p>
            <w:pPr>
              <w:pStyle w:val="TableParagraph"/>
              <w:rPr>
                <w:rFonts w:ascii="Times New Roman"/>
                <w:sz w:val="18"/>
              </w:rPr>
            </w:pPr>
          </w:p>
        </w:tc>
      </w:tr>
      <w:tr>
        <w:trPr>
          <w:trHeight w:val="573" w:hRule="atLeast"/>
        </w:trPr>
        <w:tc>
          <w:tcPr>
            <w:tcW w:w="4525" w:type="dxa"/>
          </w:tcPr>
          <w:p>
            <w:pPr>
              <w:pStyle w:val="TableParagraph"/>
              <w:spacing w:before="140"/>
              <w:ind w:left="102"/>
              <w:rPr>
                <w:sz w:val="19"/>
              </w:rPr>
            </w:pPr>
            <w:r>
              <w:rPr>
                <w:color w:val="212121"/>
                <w:w w:val="105"/>
                <w:sz w:val="19"/>
              </w:rPr>
              <w:t>Provisions </w:t>
            </w:r>
            <w:r>
              <w:rPr>
                <w:color w:val="343434"/>
                <w:w w:val="105"/>
                <w:sz w:val="19"/>
              </w:rPr>
              <w:t>- Long </w:t>
            </w:r>
            <w:r>
              <w:rPr>
                <w:color w:val="212121"/>
                <w:w w:val="105"/>
                <w:sz w:val="19"/>
              </w:rPr>
              <w:t>Service Leave</w:t>
            </w:r>
          </w:p>
        </w:tc>
        <w:tc>
          <w:tcPr>
            <w:tcW w:w="1491" w:type="dxa"/>
          </w:tcPr>
          <w:p>
            <w:pPr>
              <w:pStyle w:val="TableParagraph"/>
              <w:spacing w:before="132"/>
              <w:ind w:left="698"/>
              <w:jc w:val="center"/>
              <w:rPr>
                <w:rFonts w:ascii="Times New Roman"/>
                <w:sz w:val="20"/>
              </w:rPr>
            </w:pPr>
            <w:r>
              <w:rPr>
                <w:rFonts w:ascii="Times New Roman"/>
                <w:color w:val="212121"/>
                <w:w w:val="102"/>
                <w:sz w:val="20"/>
              </w:rPr>
              <w:t>6</w:t>
            </w:r>
          </w:p>
        </w:tc>
        <w:tc>
          <w:tcPr>
            <w:tcW w:w="3121" w:type="dxa"/>
            <w:tcBorders>
              <w:bottom w:val="single" w:sz="4" w:space="0" w:color="000000"/>
            </w:tcBorders>
          </w:tcPr>
          <w:p>
            <w:pPr>
              <w:pStyle w:val="TableParagraph"/>
              <w:tabs>
                <w:tab w:pos="2421" w:val="left" w:leader="none"/>
              </w:tabs>
              <w:spacing w:before="122"/>
              <w:ind w:left="402"/>
              <w:rPr>
                <w:rFonts w:ascii="Times New Roman"/>
                <w:sz w:val="20"/>
              </w:rPr>
            </w:pPr>
            <w:r>
              <w:rPr>
                <w:rFonts w:ascii="Times New Roman"/>
                <w:color w:val="343434"/>
                <w:w w:val="115"/>
                <w:sz w:val="20"/>
              </w:rPr>
              <w:t>28,123</w:t>
              <w:tab/>
            </w:r>
            <w:r>
              <w:rPr>
                <w:rFonts w:ascii="Times New Roman"/>
                <w:color w:val="212121"/>
                <w:w w:val="115"/>
                <w:sz w:val="20"/>
              </w:rPr>
              <w:t>28</w:t>
            </w:r>
            <w:r>
              <w:rPr>
                <w:rFonts w:ascii="Times New Roman"/>
                <w:color w:val="494949"/>
                <w:w w:val="115"/>
                <w:sz w:val="20"/>
              </w:rPr>
              <w:t>,12</w:t>
            </w:r>
            <w:r>
              <w:rPr>
                <w:rFonts w:ascii="Times New Roman"/>
                <w:color w:val="212121"/>
                <w:w w:val="115"/>
                <w:sz w:val="20"/>
              </w:rPr>
              <w:t>3</w:t>
            </w:r>
          </w:p>
        </w:tc>
      </w:tr>
      <w:tr>
        <w:trPr>
          <w:trHeight w:val="484" w:hRule="atLeast"/>
        </w:trPr>
        <w:tc>
          <w:tcPr>
            <w:tcW w:w="4525" w:type="dxa"/>
          </w:tcPr>
          <w:p>
            <w:pPr>
              <w:pStyle w:val="TableParagraph"/>
              <w:spacing w:before="47"/>
              <w:ind w:left="1103"/>
              <w:rPr>
                <w:b/>
                <w:sz w:val="19"/>
              </w:rPr>
            </w:pPr>
            <w:r>
              <w:rPr>
                <w:b/>
                <w:color w:val="212121"/>
                <w:w w:val="105"/>
                <w:sz w:val="19"/>
              </w:rPr>
              <w:t>Total Non Current liabilities</w:t>
            </w:r>
          </w:p>
        </w:tc>
        <w:tc>
          <w:tcPr>
            <w:tcW w:w="1491" w:type="dxa"/>
          </w:tcPr>
          <w:p>
            <w:pPr>
              <w:pStyle w:val="TableParagraph"/>
              <w:rPr>
                <w:rFonts w:ascii="Times New Roman"/>
                <w:sz w:val="18"/>
              </w:rPr>
            </w:pPr>
          </w:p>
        </w:tc>
        <w:tc>
          <w:tcPr>
            <w:tcW w:w="3121" w:type="dxa"/>
            <w:tcBorders>
              <w:top w:val="single" w:sz="4" w:space="0" w:color="000000"/>
              <w:bottom w:val="single" w:sz="8" w:space="0" w:color="000000"/>
            </w:tcBorders>
          </w:tcPr>
          <w:p>
            <w:pPr>
              <w:pStyle w:val="TableParagraph"/>
              <w:tabs>
                <w:tab w:pos="407" w:val="left" w:leader="none"/>
                <w:tab w:pos="1759" w:val="left" w:leader="none"/>
                <w:tab w:pos="2426" w:val="left" w:leader="none"/>
              </w:tabs>
              <w:spacing w:before="34"/>
              <w:ind w:left="-2"/>
              <w:rPr>
                <w:rFonts w:ascii="Times New Roman"/>
                <w:sz w:val="20"/>
              </w:rPr>
            </w:pPr>
            <w:r>
              <w:rPr>
                <w:rFonts w:ascii="Times New Roman"/>
                <w:color w:val="212121"/>
                <w:w w:val="100"/>
                <w:sz w:val="20"/>
                <w:u w:val="single" w:color="000000"/>
              </w:rPr>
              <w:t> </w:t>
            </w:r>
            <w:r>
              <w:rPr>
                <w:rFonts w:ascii="Times New Roman"/>
                <w:color w:val="212121"/>
                <w:sz w:val="20"/>
                <w:u w:val="single" w:color="000000"/>
              </w:rPr>
              <w:tab/>
            </w:r>
            <w:r>
              <w:rPr>
                <w:rFonts w:ascii="Times New Roman"/>
                <w:color w:val="212121"/>
                <w:w w:val="110"/>
                <w:sz w:val="20"/>
                <w:u w:val="single" w:color="000000"/>
              </w:rPr>
              <w:t>28,123</w:t>
              <w:tab/>
            </w:r>
            <w:r>
              <w:rPr>
                <w:rFonts w:ascii="Times New Roman"/>
                <w:color w:val="212121"/>
                <w:w w:val="110"/>
                <w:sz w:val="20"/>
              </w:rPr>
              <w:tab/>
              <w:t>28,123</w:t>
            </w:r>
          </w:p>
        </w:tc>
      </w:tr>
      <w:tr>
        <w:trPr>
          <w:trHeight w:val="384" w:hRule="atLeast"/>
        </w:trPr>
        <w:tc>
          <w:tcPr>
            <w:tcW w:w="4525" w:type="dxa"/>
          </w:tcPr>
          <w:p>
            <w:pPr>
              <w:pStyle w:val="TableParagraph"/>
              <w:spacing w:before="42"/>
              <w:ind w:left="103"/>
              <w:rPr>
                <w:b/>
                <w:sz w:val="19"/>
              </w:rPr>
            </w:pPr>
            <w:r>
              <w:rPr>
                <w:b/>
                <w:color w:val="212121"/>
                <w:w w:val="105"/>
                <w:sz w:val="19"/>
              </w:rPr>
              <w:t>Total Liabilities</w:t>
            </w:r>
          </w:p>
        </w:tc>
        <w:tc>
          <w:tcPr>
            <w:tcW w:w="1491" w:type="dxa"/>
          </w:tcPr>
          <w:p>
            <w:pPr>
              <w:pStyle w:val="TableParagraph"/>
              <w:rPr>
                <w:rFonts w:ascii="Times New Roman"/>
                <w:sz w:val="18"/>
              </w:rPr>
            </w:pPr>
          </w:p>
        </w:tc>
        <w:tc>
          <w:tcPr>
            <w:tcW w:w="3121" w:type="dxa"/>
            <w:tcBorders>
              <w:top w:val="single" w:sz="8" w:space="0" w:color="000000"/>
            </w:tcBorders>
          </w:tcPr>
          <w:p>
            <w:pPr>
              <w:pStyle w:val="TableParagraph"/>
              <w:tabs>
                <w:tab w:pos="297" w:val="left" w:leader="none"/>
                <w:tab w:pos="2325" w:val="left" w:leader="none"/>
              </w:tabs>
              <w:spacing w:before="24"/>
              <w:ind w:left="-2" w:right="-15"/>
              <w:rPr>
                <w:rFonts w:ascii="Times New Roman"/>
                <w:sz w:val="20"/>
              </w:rPr>
            </w:pPr>
            <w:r>
              <w:rPr>
                <w:rFonts w:ascii="Times New Roman"/>
                <w:color w:val="343434"/>
                <w:w w:val="100"/>
                <w:sz w:val="20"/>
                <w:u w:val="single" w:color="000000"/>
              </w:rPr>
              <w:t> </w:t>
            </w:r>
            <w:r>
              <w:rPr>
                <w:rFonts w:ascii="Times New Roman"/>
                <w:color w:val="343434"/>
                <w:sz w:val="20"/>
                <w:u w:val="single" w:color="000000"/>
              </w:rPr>
              <w:tab/>
            </w:r>
            <w:r>
              <w:rPr>
                <w:rFonts w:ascii="Times New Roman"/>
                <w:color w:val="343434"/>
                <w:w w:val="110"/>
                <w:sz w:val="20"/>
                <w:u w:val="single" w:color="000000"/>
              </w:rPr>
              <w:t>176,967</w:t>
              <w:tab/>
            </w:r>
            <w:r>
              <w:rPr>
                <w:rFonts w:ascii="Times New Roman"/>
                <w:color w:val="212121"/>
                <w:w w:val="110"/>
                <w:sz w:val="20"/>
                <w:u w:val="single" w:color="000000"/>
              </w:rPr>
              <w:t>201,669</w:t>
            </w:r>
            <w:r>
              <w:rPr>
                <w:rFonts w:ascii="Times New Roman"/>
                <w:color w:val="212121"/>
                <w:spacing w:val="-23"/>
                <w:sz w:val="20"/>
                <w:u w:val="single" w:color="000000"/>
              </w:rPr>
              <w:t> </w:t>
            </w:r>
          </w:p>
        </w:tc>
      </w:tr>
      <w:tr>
        <w:trPr>
          <w:trHeight w:val="502" w:hRule="atLeast"/>
        </w:trPr>
        <w:tc>
          <w:tcPr>
            <w:tcW w:w="4525" w:type="dxa"/>
          </w:tcPr>
          <w:p>
            <w:pPr>
              <w:pStyle w:val="TableParagraph"/>
              <w:spacing w:before="143"/>
              <w:ind w:left="103"/>
              <w:rPr>
                <w:b/>
                <w:sz w:val="19"/>
              </w:rPr>
            </w:pPr>
            <w:r>
              <w:rPr>
                <w:b/>
                <w:color w:val="212121"/>
                <w:w w:val="105"/>
                <w:sz w:val="19"/>
              </w:rPr>
              <w:t>Net Assets</w:t>
            </w:r>
          </w:p>
        </w:tc>
        <w:tc>
          <w:tcPr>
            <w:tcW w:w="1491" w:type="dxa"/>
          </w:tcPr>
          <w:p>
            <w:pPr>
              <w:pStyle w:val="TableParagraph"/>
              <w:rPr>
                <w:rFonts w:ascii="Times New Roman"/>
                <w:sz w:val="18"/>
              </w:rPr>
            </w:pPr>
          </w:p>
        </w:tc>
        <w:tc>
          <w:tcPr>
            <w:tcW w:w="3121" w:type="dxa"/>
          </w:tcPr>
          <w:p>
            <w:pPr>
              <w:pStyle w:val="TableParagraph"/>
              <w:tabs>
                <w:tab w:pos="369" w:val="left" w:leader="none"/>
                <w:tab w:pos="2383" w:val="left" w:leader="none"/>
              </w:tabs>
              <w:spacing w:before="120"/>
              <w:ind w:left="-2"/>
              <w:rPr>
                <w:rFonts w:ascii="Times New Roman"/>
                <w:sz w:val="20"/>
              </w:rPr>
            </w:pPr>
            <w:r>
              <w:rPr>
                <w:rFonts w:ascii="Times New Roman"/>
                <w:color w:val="212121"/>
                <w:w w:val="100"/>
                <w:sz w:val="20"/>
                <w:u w:val="thick" w:color="000000"/>
              </w:rPr>
              <w:t> </w:t>
            </w:r>
            <w:r>
              <w:rPr>
                <w:rFonts w:ascii="Times New Roman"/>
                <w:color w:val="212121"/>
                <w:sz w:val="20"/>
                <w:u w:val="thick" w:color="000000"/>
              </w:rPr>
              <w:tab/>
            </w:r>
            <w:r>
              <w:rPr>
                <w:rFonts w:ascii="Times New Roman"/>
                <w:color w:val="212121"/>
                <w:w w:val="110"/>
                <w:sz w:val="20"/>
                <w:u w:val="thick" w:color="000000"/>
              </w:rPr>
              <w:t>191,244</w:t>
              <w:tab/>
              <w:t>134,022</w:t>
            </w:r>
          </w:p>
        </w:tc>
      </w:tr>
      <w:tr>
        <w:trPr>
          <w:trHeight w:val="410" w:hRule="atLeast"/>
        </w:trPr>
        <w:tc>
          <w:tcPr>
            <w:tcW w:w="4525" w:type="dxa"/>
          </w:tcPr>
          <w:p>
            <w:pPr>
              <w:pStyle w:val="TableParagraph"/>
              <w:spacing w:before="155"/>
              <w:ind w:left="117"/>
              <w:rPr>
                <w:b/>
                <w:sz w:val="19"/>
              </w:rPr>
            </w:pPr>
            <w:r>
              <w:rPr>
                <w:b/>
                <w:color w:val="212121"/>
                <w:w w:val="105"/>
                <w:sz w:val="19"/>
              </w:rPr>
              <w:t>Accumulated </w:t>
            </w:r>
            <w:r>
              <w:rPr>
                <w:b/>
                <w:color w:val="111111"/>
                <w:w w:val="105"/>
                <w:sz w:val="19"/>
              </w:rPr>
              <w:t>funds</w:t>
            </w:r>
          </w:p>
        </w:tc>
        <w:tc>
          <w:tcPr>
            <w:tcW w:w="1491" w:type="dxa"/>
          </w:tcPr>
          <w:p>
            <w:pPr>
              <w:pStyle w:val="TableParagraph"/>
              <w:rPr>
                <w:rFonts w:ascii="Times New Roman"/>
                <w:sz w:val="18"/>
              </w:rPr>
            </w:pPr>
          </w:p>
        </w:tc>
        <w:tc>
          <w:tcPr>
            <w:tcW w:w="3121" w:type="dxa"/>
          </w:tcPr>
          <w:p>
            <w:pPr>
              <w:pStyle w:val="TableParagraph"/>
              <w:tabs>
                <w:tab w:pos="2397" w:val="left" w:leader="none"/>
              </w:tabs>
              <w:spacing w:before="132"/>
              <w:ind w:left="374"/>
              <w:rPr>
                <w:rFonts w:ascii="Times New Roman"/>
                <w:sz w:val="20"/>
              </w:rPr>
            </w:pPr>
            <w:r>
              <w:rPr>
                <w:rFonts w:ascii="Times New Roman"/>
                <w:color w:val="343434"/>
                <w:w w:val="110"/>
                <w:sz w:val="20"/>
              </w:rPr>
              <w:t>191,244</w:t>
              <w:tab/>
              <w:t>134,022</w:t>
            </w:r>
          </w:p>
        </w:tc>
      </w:tr>
    </w:tbl>
    <w:p>
      <w:pPr>
        <w:spacing w:after="0"/>
        <w:rPr>
          <w:rFonts w:ascii="Times New Roman"/>
          <w:sz w:val="20"/>
        </w:rPr>
        <w:sectPr>
          <w:pgSz w:w="11910" w:h="16840"/>
          <w:pgMar w:header="0" w:footer="1209" w:top="1580" w:bottom="1420" w:left="480" w:right="380"/>
        </w:sectPr>
      </w:pPr>
    </w:p>
    <w:p>
      <w:pPr>
        <w:pStyle w:val="BodyText"/>
        <w:spacing w:before="7"/>
        <w:rPr>
          <w:rFonts w:ascii="Times New Roman"/>
          <w:sz w:val="23"/>
        </w:rPr>
      </w:pPr>
    </w:p>
    <w:p>
      <w:pPr>
        <w:spacing w:before="94"/>
        <w:ind w:left="3505" w:right="0" w:firstLine="0"/>
        <w:jc w:val="left"/>
        <w:rPr>
          <w:b/>
          <w:sz w:val="18"/>
        </w:rPr>
      </w:pPr>
      <w:r>
        <w:rPr>
          <w:b/>
          <w:color w:val="262626"/>
          <w:w w:val="110"/>
          <w:sz w:val="18"/>
          <w:u w:val="thick" w:color="363636"/>
        </w:rPr>
        <w:t>PEOPLE WITH DISABILITIES {WA) </w:t>
      </w:r>
      <w:r>
        <w:rPr>
          <w:b/>
          <w:color w:val="363636"/>
          <w:w w:val="110"/>
          <w:sz w:val="18"/>
          <w:u w:val="thick" w:color="363636"/>
        </w:rPr>
        <w:t>INC</w:t>
      </w:r>
    </w:p>
    <w:p>
      <w:pPr>
        <w:pStyle w:val="BodyText"/>
        <w:spacing w:before="10"/>
        <w:rPr>
          <w:b/>
          <w:sz w:val="16"/>
        </w:rPr>
      </w:pPr>
    </w:p>
    <w:p>
      <w:pPr>
        <w:spacing w:before="94"/>
        <w:ind w:left="2982" w:right="3400" w:firstLine="0"/>
        <w:jc w:val="center"/>
        <w:rPr>
          <w:b/>
          <w:sz w:val="18"/>
        </w:rPr>
      </w:pPr>
      <w:r>
        <w:rPr>
          <w:b/>
          <w:color w:val="262626"/>
          <w:w w:val="110"/>
          <w:sz w:val="18"/>
          <w:u w:val="thick" w:color="262626"/>
        </w:rPr>
        <w:t>Income Statement</w:t>
      </w:r>
    </w:p>
    <w:p>
      <w:pPr>
        <w:spacing w:before="38"/>
        <w:ind w:left="2982" w:right="3385" w:firstLine="0"/>
        <w:jc w:val="center"/>
        <w:rPr>
          <w:b/>
          <w:sz w:val="18"/>
        </w:rPr>
      </w:pPr>
      <w:r>
        <w:rPr>
          <w:b/>
          <w:color w:val="262626"/>
          <w:w w:val="110"/>
          <w:sz w:val="18"/>
          <w:u w:val="thick" w:color="262626"/>
        </w:rPr>
        <w:t>For </w:t>
      </w:r>
      <w:r>
        <w:rPr>
          <w:b/>
          <w:color w:val="363636"/>
          <w:w w:val="110"/>
          <w:sz w:val="18"/>
          <w:u w:val="thick" w:color="262626"/>
        </w:rPr>
        <w:t>the </w:t>
      </w:r>
      <w:r>
        <w:rPr>
          <w:b/>
          <w:color w:val="262626"/>
          <w:w w:val="110"/>
          <w:sz w:val="18"/>
          <w:u w:val="thick" w:color="262626"/>
        </w:rPr>
        <w:t>financial year ended 30/06/2011</w:t>
      </w:r>
    </w:p>
    <w:p>
      <w:pPr>
        <w:pStyle w:val="BodyText"/>
        <w:spacing w:before="10"/>
        <w:rPr>
          <w:b/>
          <w:sz w:val="23"/>
        </w:rPr>
      </w:pPr>
    </w:p>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3"/>
        <w:gridCol w:w="1298"/>
        <w:gridCol w:w="58"/>
        <w:gridCol w:w="1961"/>
        <w:gridCol w:w="58"/>
        <w:gridCol w:w="1144"/>
      </w:tblGrid>
      <w:tr>
        <w:trPr>
          <w:trHeight w:val="515" w:hRule="atLeast"/>
        </w:trPr>
        <w:tc>
          <w:tcPr>
            <w:tcW w:w="4783" w:type="dxa"/>
          </w:tcPr>
          <w:p>
            <w:pPr>
              <w:pStyle w:val="TableParagraph"/>
              <w:rPr>
                <w:rFonts w:ascii="Times New Roman"/>
                <w:sz w:val="18"/>
              </w:rPr>
            </w:pPr>
          </w:p>
        </w:tc>
        <w:tc>
          <w:tcPr>
            <w:tcW w:w="1298" w:type="dxa"/>
          </w:tcPr>
          <w:p>
            <w:pPr>
              <w:pStyle w:val="TableParagraph"/>
              <w:spacing w:before="18"/>
              <w:ind w:left="312"/>
              <w:rPr>
                <w:sz w:val="19"/>
              </w:rPr>
            </w:pPr>
            <w:r>
              <w:rPr>
                <w:color w:val="363636"/>
                <w:w w:val="105"/>
                <w:sz w:val="19"/>
              </w:rPr>
              <w:t>Notes</w:t>
            </w:r>
          </w:p>
        </w:tc>
        <w:tc>
          <w:tcPr>
            <w:tcW w:w="58" w:type="dxa"/>
          </w:tcPr>
          <w:p>
            <w:pPr>
              <w:pStyle w:val="TableParagraph"/>
              <w:rPr>
                <w:rFonts w:ascii="Times New Roman"/>
                <w:sz w:val="18"/>
              </w:rPr>
            </w:pPr>
          </w:p>
        </w:tc>
        <w:tc>
          <w:tcPr>
            <w:tcW w:w="1961" w:type="dxa"/>
          </w:tcPr>
          <w:p>
            <w:pPr>
              <w:pStyle w:val="TableParagraph"/>
              <w:spacing w:before="23"/>
              <w:ind w:left="198" w:right="1282"/>
              <w:jc w:val="center"/>
              <w:rPr>
                <w:b/>
                <w:sz w:val="18"/>
              </w:rPr>
            </w:pPr>
            <w:r>
              <w:rPr>
                <w:b/>
                <w:color w:val="363636"/>
                <w:w w:val="110"/>
                <w:sz w:val="18"/>
              </w:rPr>
              <w:t>2011</w:t>
            </w:r>
          </w:p>
          <w:p>
            <w:pPr>
              <w:pStyle w:val="TableParagraph"/>
              <w:spacing w:before="34"/>
              <w:ind w:right="1069"/>
              <w:jc w:val="center"/>
              <w:rPr>
                <w:sz w:val="19"/>
              </w:rPr>
            </w:pPr>
            <w:r>
              <w:rPr>
                <w:color w:val="363636"/>
                <w:w w:val="110"/>
                <w:sz w:val="19"/>
              </w:rPr>
              <w:t>$</w:t>
            </w:r>
          </w:p>
        </w:tc>
        <w:tc>
          <w:tcPr>
            <w:tcW w:w="58" w:type="dxa"/>
          </w:tcPr>
          <w:p>
            <w:pPr>
              <w:pStyle w:val="TableParagraph"/>
              <w:rPr>
                <w:rFonts w:ascii="Times New Roman"/>
                <w:sz w:val="18"/>
              </w:rPr>
            </w:pPr>
          </w:p>
        </w:tc>
        <w:tc>
          <w:tcPr>
            <w:tcW w:w="1144" w:type="dxa"/>
          </w:tcPr>
          <w:p>
            <w:pPr>
              <w:pStyle w:val="TableParagraph"/>
              <w:spacing w:line="233" w:lineRule="exact"/>
              <w:ind w:left="200" w:right="463"/>
              <w:jc w:val="center"/>
              <w:rPr>
                <w:rFonts w:ascii="Times New Roman"/>
                <w:sz w:val="21"/>
              </w:rPr>
            </w:pPr>
            <w:r>
              <w:rPr>
                <w:rFonts w:ascii="Times New Roman"/>
                <w:color w:val="363636"/>
                <w:w w:val="105"/>
                <w:sz w:val="21"/>
              </w:rPr>
              <w:t>2010</w:t>
            </w:r>
          </w:p>
          <w:p>
            <w:pPr>
              <w:pStyle w:val="TableParagraph"/>
              <w:spacing w:line="212" w:lineRule="exact" w:before="50"/>
              <w:ind w:right="252"/>
              <w:jc w:val="center"/>
              <w:rPr>
                <w:sz w:val="19"/>
              </w:rPr>
            </w:pPr>
            <w:r>
              <w:rPr>
                <w:color w:val="363636"/>
                <w:w w:val="110"/>
                <w:sz w:val="19"/>
              </w:rPr>
              <w:t>$</w:t>
            </w:r>
          </w:p>
        </w:tc>
      </w:tr>
      <w:tr>
        <w:trPr>
          <w:trHeight w:val="357" w:hRule="atLeast"/>
        </w:trPr>
        <w:tc>
          <w:tcPr>
            <w:tcW w:w="4783" w:type="dxa"/>
          </w:tcPr>
          <w:p>
            <w:pPr>
              <w:pStyle w:val="TableParagraph"/>
              <w:spacing w:before="8"/>
              <w:ind w:left="50"/>
              <w:rPr>
                <w:b/>
                <w:sz w:val="18"/>
              </w:rPr>
            </w:pPr>
            <w:r>
              <w:rPr>
                <w:b/>
                <w:color w:val="262626"/>
                <w:w w:val="110"/>
                <w:sz w:val="18"/>
              </w:rPr>
              <w:t>Revenue from </w:t>
            </w:r>
            <w:r>
              <w:rPr>
                <w:b/>
                <w:color w:val="363636"/>
                <w:w w:val="110"/>
                <w:sz w:val="18"/>
              </w:rPr>
              <w:t>Ordinary </w:t>
            </w:r>
            <w:r>
              <w:rPr>
                <w:b/>
                <w:color w:val="262626"/>
                <w:w w:val="110"/>
                <w:sz w:val="18"/>
              </w:rPr>
              <w:t>Activities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rPr>
                <w:rFonts w:ascii="Times New Roman"/>
                <w:sz w:val="18"/>
              </w:rPr>
            </w:pPr>
          </w:p>
        </w:tc>
        <w:tc>
          <w:tcPr>
            <w:tcW w:w="58" w:type="dxa"/>
          </w:tcPr>
          <w:p>
            <w:pPr>
              <w:pStyle w:val="TableParagraph"/>
              <w:rPr>
                <w:rFonts w:ascii="Times New Roman"/>
                <w:sz w:val="18"/>
              </w:rPr>
            </w:pPr>
          </w:p>
        </w:tc>
        <w:tc>
          <w:tcPr>
            <w:tcW w:w="1144" w:type="dxa"/>
          </w:tcPr>
          <w:p>
            <w:pPr>
              <w:pStyle w:val="TableParagraph"/>
              <w:rPr>
                <w:rFonts w:ascii="Times New Roman"/>
                <w:sz w:val="18"/>
              </w:rPr>
            </w:pPr>
          </w:p>
        </w:tc>
      </w:tr>
      <w:tr>
        <w:trPr>
          <w:trHeight w:val="363" w:hRule="atLeast"/>
        </w:trPr>
        <w:tc>
          <w:tcPr>
            <w:tcW w:w="4783" w:type="dxa"/>
          </w:tcPr>
          <w:p>
            <w:pPr>
              <w:pStyle w:val="TableParagraph"/>
              <w:spacing w:line="207" w:lineRule="exact" w:before="136"/>
              <w:ind w:left="53"/>
              <w:rPr>
                <w:sz w:val="19"/>
              </w:rPr>
            </w:pPr>
            <w:r>
              <w:rPr>
                <w:color w:val="262626"/>
                <w:w w:val="105"/>
                <w:sz w:val="19"/>
              </w:rPr>
              <w:t>Grants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rPr>
                <w:rFonts w:ascii="Times New Roman"/>
                <w:sz w:val="18"/>
              </w:rPr>
            </w:pPr>
          </w:p>
        </w:tc>
        <w:tc>
          <w:tcPr>
            <w:tcW w:w="58" w:type="dxa"/>
          </w:tcPr>
          <w:p>
            <w:pPr>
              <w:pStyle w:val="TableParagraph"/>
              <w:rPr>
                <w:rFonts w:ascii="Times New Roman"/>
                <w:sz w:val="18"/>
              </w:rPr>
            </w:pPr>
          </w:p>
        </w:tc>
        <w:tc>
          <w:tcPr>
            <w:tcW w:w="1144" w:type="dxa"/>
          </w:tcPr>
          <w:p>
            <w:pPr>
              <w:pStyle w:val="TableParagraph"/>
              <w:rPr>
                <w:rFonts w:ascii="Times New Roman"/>
                <w:sz w:val="18"/>
              </w:rPr>
            </w:pPr>
          </w:p>
        </w:tc>
      </w:tr>
      <w:tr>
        <w:trPr>
          <w:trHeight w:val="247" w:hRule="atLeast"/>
        </w:trPr>
        <w:tc>
          <w:tcPr>
            <w:tcW w:w="4783" w:type="dxa"/>
          </w:tcPr>
          <w:p>
            <w:pPr>
              <w:pStyle w:val="TableParagraph"/>
              <w:spacing w:line="215" w:lineRule="exact" w:before="13"/>
              <w:ind w:left="1191"/>
              <w:rPr>
                <w:sz w:val="19"/>
              </w:rPr>
            </w:pPr>
            <w:r>
              <w:rPr>
                <w:color w:val="363636"/>
                <w:w w:val="105"/>
                <w:sz w:val="19"/>
              </w:rPr>
              <w:t>- </w:t>
            </w:r>
            <w:r>
              <w:rPr>
                <w:color w:val="262626"/>
                <w:w w:val="105"/>
                <w:sz w:val="19"/>
              </w:rPr>
              <w:t>Disability Services Commission</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8" w:lineRule="exact"/>
              <w:ind w:left="125"/>
              <w:rPr>
                <w:rFonts w:ascii="Times New Roman"/>
                <w:sz w:val="21"/>
              </w:rPr>
            </w:pPr>
            <w:r>
              <w:rPr>
                <w:rFonts w:ascii="Times New Roman"/>
                <w:color w:val="363636"/>
                <w:w w:val="105"/>
                <w:sz w:val="21"/>
              </w:rPr>
              <w:t>371,153</w:t>
            </w:r>
          </w:p>
        </w:tc>
        <w:tc>
          <w:tcPr>
            <w:tcW w:w="58" w:type="dxa"/>
          </w:tcPr>
          <w:p>
            <w:pPr>
              <w:pStyle w:val="TableParagraph"/>
              <w:rPr>
                <w:rFonts w:ascii="Times New Roman"/>
                <w:sz w:val="18"/>
              </w:rPr>
            </w:pPr>
          </w:p>
        </w:tc>
        <w:tc>
          <w:tcPr>
            <w:tcW w:w="1144" w:type="dxa"/>
          </w:tcPr>
          <w:p>
            <w:pPr>
              <w:pStyle w:val="TableParagraph"/>
              <w:spacing w:line="228" w:lineRule="exact"/>
              <w:ind w:left="125"/>
              <w:rPr>
                <w:rFonts w:ascii="Times New Roman"/>
                <w:sz w:val="21"/>
              </w:rPr>
            </w:pPr>
            <w:r>
              <w:rPr>
                <w:rFonts w:ascii="Times New Roman"/>
                <w:color w:val="262626"/>
                <w:w w:val="105"/>
                <w:sz w:val="21"/>
              </w:rPr>
              <w:t>344,972</w:t>
            </w:r>
          </w:p>
        </w:tc>
      </w:tr>
      <w:tr>
        <w:trPr>
          <w:trHeight w:val="245" w:hRule="atLeast"/>
        </w:trPr>
        <w:tc>
          <w:tcPr>
            <w:tcW w:w="4783" w:type="dxa"/>
          </w:tcPr>
          <w:p>
            <w:pPr>
              <w:pStyle w:val="TableParagraph"/>
              <w:spacing w:line="210" w:lineRule="exact" w:before="15"/>
              <w:ind w:left="1196"/>
              <w:rPr>
                <w:sz w:val="19"/>
              </w:rPr>
            </w:pPr>
            <w:r>
              <w:rPr>
                <w:color w:val="4F4F4F"/>
                <w:sz w:val="19"/>
              </w:rPr>
              <w:t>- </w:t>
            </w:r>
            <w:r>
              <w:rPr>
                <w:color w:val="262626"/>
                <w:sz w:val="19"/>
              </w:rPr>
              <w:t>FAHCSIA</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5" w:lineRule="exact"/>
              <w:ind w:left="129"/>
              <w:rPr>
                <w:rFonts w:ascii="Times New Roman"/>
                <w:sz w:val="21"/>
              </w:rPr>
            </w:pPr>
            <w:r>
              <w:rPr>
                <w:rFonts w:ascii="Times New Roman"/>
                <w:color w:val="262626"/>
                <w:w w:val="105"/>
                <w:sz w:val="21"/>
              </w:rPr>
              <w:t>250,647</w:t>
            </w:r>
          </w:p>
        </w:tc>
        <w:tc>
          <w:tcPr>
            <w:tcW w:w="58" w:type="dxa"/>
          </w:tcPr>
          <w:p>
            <w:pPr>
              <w:pStyle w:val="TableParagraph"/>
              <w:rPr>
                <w:rFonts w:ascii="Times New Roman"/>
                <w:sz w:val="16"/>
              </w:rPr>
            </w:pPr>
          </w:p>
        </w:tc>
        <w:tc>
          <w:tcPr>
            <w:tcW w:w="1144" w:type="dxa"/>
          </w:tcPr>
          <w:p>
            <w:pPr>
              <w:pStyle w:val="TableParagraph"/>
              <w:spacing w:line="225" w:lineRule="exact"/>
              <w:ind w:left="124"/>
              <w:rPr>
                <w:rFonts w:ascii="Times New Roman"/>
                <w:sz w:val="21"/>
              </w:rPr>
            </w:pPr>
            <w:r>
              <w:rPr>
                <w:rFonts w:ascii="Times New Roman"/>
                <w:color w:val="363636"/>
                <w:w w:val="105"/>
                <w:sz w:val="21"/>
              </w:rPr>
              <w:t>206,981</w:t>
            </w:r>
          </w:p>
        </w:tc>
      </w:tr>
      <w:tr>
        <w:trPr>
          <w:trHeight w:val="257" w:hRule="atLeast"/>
        </w:trPr>
        <w:tc>
          <w:tcPr>
            <w:tcW w:w="4783" w:type="dxa"/>
          </w:tcPr>
          <w:p>
            <w:pPr>
              <w:pStyle w:val="TableParagraph"/>
              <w:spacing w:line="217" w:lineRule="exact" w:before="20"/>
              <w:ind w:left="1196"/>
              <w:rPr>
                <w:sz w:val="19"/>
              </w:rPr>
            </w:pPr>
            <w:r>
              <w:rPr>
                <w:color w:val="363636"/>
                <w:sz w:val="19"/>
              </w:rPr>
              <w:t>- Lotterywest</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5" w:lineRule="exact" w:before="2"/>
              <w:ind w:left="239"/>
              <w:rPr>
                <w:rFonts w:ascii="Times New Roman"/>
                <w:sz w:val="21"/>
              </w:rPr>
            </w:pPr>
            <w:r>
              <w:rPr>
                <w:rFonts w:ascii="Times New Roman"/>
                <w:color w:val="262626"/>
                <w:w w:val="105"/>
                <w:sz w:val="21"/>
              </w:rPr>
              <w:t>13,114</w:t>
            </w:r>
          </w:p>
        </w:tc>
        <w:tc>
          <w:tcPr>
            <w:tcW w:w="58" w:type="dxa"/>
          </w:tcPr>
          <w:p>
            <w:pPr>
              <w:pStyle w:val="TableParagraph"/>
              <w:rPr>
                <w:rFonts w:ascii="Times New Roman"/>
                <w:sz w:val="18"/>
              </w:rPr>
            </w:pPr>
          </w:p>
        </w:tc>
        <w:tc>
          <w:tcPr>
            <w:tcW w:w="1144" w:type="dxa"/>
          </w:tcPr>
          <w:p>
            <w:pPr>
              <w:pStyle w:val="TableParagraph"/>
              <w:spacing w:line="237" w:lineRule="exact"/>
              <w:ind w:left="236"/>
              <w:rPr>
                <w:rFonts w:ascii="Times New Roman"/>
                <w:sz w:val="21"/>
              </w:rPr>
            </w:pPr>
            <w:r>
              <w:rPr>
                <w:rFonts w:ascii="Times New Roman"/>
                <w:color w:val="262626"/>
                <w:w w:val="105"/>
                <w:sz w:val="21"/>
              </w:rPr>
              <w:t>76,214</w:t>
            </w:r>
          </w:p>
        </w:tc>
      </w:tr>
      <w:tr>
        <w:trPr>
          <w:trHeight w:val="489" w:hRule="atLeast"/>
        </w:trPr>
        <w:tc>
          <w:tcPr>
            <w:tcW w:w="4783" w:type="dxa"/>
          </w:tcPr>
          <w:p>
            <w:pPr>
              <w:pStyle w:val="TableParagraph"/>
              <w:spacing w:before="7"/>
              <w:ind w:left="1191"/>
              <w:rPr>
                <w:sz w:val="19"/>
              </w:rPr>
            </w:pPr>
            <w:r>
              <w:rPr>
                <w:color w:val="4F4F4F"/>
                <w:w w:val="105"/>
                <w:sz w:val="19"/>
              </w:rPr>
              <w:t>- </w:t>
            </w:r>
            <w:r>
              <w:rPr>
                <w:color w:val="262626"/>
                <w:w w:val="105"/>
                <w:sz w:val="19"/>
              </w:rPr>
              <w:t>Other Grants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rPr>
                <w:rFonts w:ascii="Times New Roman"/>
                <w:sz w:val="18"/>
              </w:rPr>
            </w:pPr>
          </w:p>
        </w:tc>
        <w:tc>
          <w:tcPr>
            <w:tcW w:w="58" w:type="dxa"/>
          </w:tcPr>
          <w:p>
            <w:pPr>
              <w:pStyle w:val="TableParagraph"/>
              <w:rPr>
                <w:rFonts w:ascii="Times New Roman"/>
                <w:sz w:val="18"/>
              </w:rPr>
            </w:pPr>
          </w:p>
        </w:tc>
        <w:tc>
          <w:tcPr>
            <w:tcW w:w="1144" w:type="dxa"/>
          </w:tcPr>
          <w:p>
            <w:pPr>
              <w:pStyle w:val="TableParagraph"/>
              <w:spacing w:before="17"/>
              <w:ind w:left="745"/>
              <w:rPr>
                <w:sz w:val="19"/>
              </w:rPr>
            </w:pPr>
            <w:r>
              <w:rPr>
                <w:color w:val="262626"/>
                <w:w w:val="106"/>
                <w:sz w:val="19"/>
              </w:rPr>
              <w:t>0</w:t>
            </w:r>
          </w:p>
        </w:tc>
      </w:tr>
      <w:tr>
        <w:trPr>
          <w:trHeight w:val="495" w:hRule="atLeast"/>
        </w:trPr>
        <w:tc>
          <w:tcPr>
            <w:tcW w:w="4783" w:type="dxa"/>
          </w:tcPr>
          <w:p>
            <w:pPr>
              <w:pStyle w:val="TableParagraph"/>
              <w:spacing w:before="9"/>
              <w:rPr>
                <w:b/>
                <w:sz w:val="22"/>
              </w:rPr>
            </w:pPr>
          </w:p>
          <w:p>
            <w:pPr>
              <w:pStyle w:val="TableParagraph"/>
              <w:spacing w:line="212" w:lineRule="exact" w:before="1"/>
              <w:ind w:left="64"/>
              <w:rPr>
                <w:sz w:val="19"/>
              </w:rPr>
            </w:pPr>
            <w:r>
              <w:rPr>
                <w:color w:val="363636"/>
                <w:w w:val="105"/>
                <w:sz w:val="19"/>
              </w:rPr>
              <w:t>Interest</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before="3"/>
              <w:rPr>
                <w:b/>
                <w:sz w:val="21"/>
              </w:rPr>
            </w:pPr>
          </w:p>
          <w:p>
            <w:pPr>
              <w:pStyle w:val="TableParagraph"/>
              <w:spacing w:line="230" w:lineRule="exact"/>
              <w:ind w:left="356"/>
              <w:rPr>
                <w:rFonts w:ascii="Times New Roman"/>
                <w:sz w:val="21"/>
              </w:rPr>
            </w:pPr>
            <w:r>
              <w:rPr>
                <w:rFonts w:ascii="Times New Roman"/>
                <w:color w:val="262626"/>
                <w:w w:val="110"/>
                <w:sz w:val="21"/>
              </w:rPr>
              <w:t>9</w:t>
            </w:r>
            <w:r>
              <w:rPr>
                <w:rFonts w:ascii="Times New Roman"/>
                <w:color w:val="676767"/>
                <w:w w:val="110"/>
                <w:sz w:val="21"/>
              </w:rPr>
              <w:t>,</w:t>
            </w:r>
            <w:r>
              <w:rPr>
                <w:rFonts w:ascii="Times New Roman"/>
                <w:color w:val="262626"/>
                <w:w w:val="110"/>
                <w:sz w:val="21"/>
              </w:rPr>
              <w:t>043</w:t>
            </w:r>
          </w:p>
        </w:tc>
        <w:tc>
          <w:tcPr>
            <w:tcW w:w="58" w:type="dxa"/>
          </w:tcPr>
          <w:p>
            <w:pPr>
              <w:pStyle w:val="TableParagraph"/>
              <w:rPr>
                <w:rFonts w:ascii="Times New Roman"/>
                <w:sz w:val="18"/>
              </w:rPr>
            </w:pPr>
          </w:p>
        </w:tc>
        <w:tc>
          <w:tcPr>
            <w:tcW w:w="1144" w:type="dxa"/>
          </w:tcPr>
          <w:p>
            <w:pPr>
              <w:pStyle w:val="TableParagraph"/>
              <w:spacing w:before="3"/>
              <w:rPr>
                <w:b/>
                <w:sz w:val="21"/>
              </w:rPr>
            </w:pPr>
          </w:p>
          <w:p>
            <w:pPr>
              <w:pStyle w:val="TableParagraph"/>
              <w:spacing w:line="230" w:lineRule="exact"/>
              <w:ind w:left="351"/>
              <w:rPr>
                <w:rFonts w:ascii="Times New Roman"/>
                <w:sz w:val="21"/>
              </w:rPr>
            </w:pPr>
            <w:r>
              <w:rPr>
                <w:rFonts w:ascii="Times New Roman"/>
                <w:color w:val="262626"/>
                <w:w w:val="105"/>
                <w:sz w:val="21"/>
              </w:rPr>
              <w:t>8,941</w:t>
            </w:r>
          </w:p>
        </w:tc>
      </w:tr>
      <w:tr>
        <w:trPr>
          <w:trHeight w:val="247" w:hRule="atLeast"/>
        </w:trPr>
        <w:tc>
          <w:tcPr>
            <w:tcW w:w="4783" w:type="dxa"/>
          </w:tcPr>
          <w:p>
            <w:pPr>
              <w:pStyle w:val="TableParagraph"/>
              <w:spacing w:line="224" w:lineRule="exact" w:before="3"/>
              <w:ind w:left="67"/>
              <w:rPr>
                <w:sz w:val="19"/>
              </w:rPr>
            </w:pPr>
            <w:r>
              <w:rPr>
                <w:color w:val="363636"/>
                <w:sz w:val="19"/>
              </w:rPr>
              <w:t>Donations </w:t>
            </w:r>
            <w:r>
              <w:rPr>
                <w:color w:val="262626"/>
                <w:sz w:val="20"/>
              </w:rPr>
              <w:t>&amp; </w:t>
            </w:r>
            <w:r>
              <w:rPr>
                <w:color w:val="262626"/>
                <w:sz w:val="19"/>
              </w:rPr>
              <w:t>fundraising</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7" w:lineRule="exact"/>
              <w:ind w:left="633"/>
              <w:rPr>
                <w:rFonts w:ascii="Times New Roman"/>
                <w:sz w:val="21"/>
              </w:rPr>
            </w:pPr>
            <w:r>
              <w:rPr>
                <w:rFonts w:ascii="Times New Roman"/>
                <w:color w:val="363636"/>
                <w:w w:val="110"/>
                <w:sz w:val="21"/>
              </w:rPr>
              <w:t>50</w:t>
            </w:r>
          </w:p>
        </w:tc>
        <w:tc>
          <w:tcPr>
            <w:tcW w:w="58" w:type="dxa"/>
          </w:tcPr>
          <w:p>
            <w:pPr>
              <w:pStyle w:val="TableParagraph"/>
              <w:rPr>
                <w:rFonts w:ascii="Times New Roman"/>
                <w:sz w:val="18"/>
              </w:rPr>
            </w:pPr>
          </w:p>
        </w:tc>
        <w:tc>
          <w:tcPr>
            <w:tcW w:w="1144" w:type="dxa"/>
          </w:tcPr>
          <w:p>
            <w:pPr>
              <w:pStyle w:val="TableParagraph"/>
              <w:spacing w:line="227" w:lineRule="exact"/>
              <w:ind w:left="528"/>
              <w:rPr>
                <w:rFonts w:ascii="Times New Roman"/>
                <w:sz w:val="21"/>
              </w:rPr>
            </w:pPr>
            <w:r>
              <w:rPr>
                <w:rFonts w:ascii="Times New Roman"/>
                <w:color w:val="262626"/>
                <w:w w:val="110"/>
                <w:sz w:val="21"/>
              </w:rPr>
              <w:t>640</w:t>
            </w:r>
          </w:p>
        </w:tc>
      </w:tr>
      <w:tr>
        <w:trPr>
          <w:trHeight w:val="247" w:hRule="atLeast"/>
        </w:trPr>
        <w:tc>
          <w:tcPr>
            <w:tcW w:w="4783" w:type="dxa"/>
          </w:tcPr>
          <w:p>
            <w:pPr>
              <w:pStyle w:val="TableParagraph"/>
              <w:spacing w:line="212" w:lineRule="exact" w:before="15"/>
              <w:ind w:left="68"/>
              <w:rPr>
                <w:sz w:val="19"/>
              </w:rPr>
            </w:pPr>
            <w:r>
              <w:rPr>
                <w:color w:val="262626"/>
                <w:w w:val="105"/>
                <w:sz w:val="19"/>
              </w:rPr>
              <w:t>Membership</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7" w:lineRule="exact"/>
              <w:ind w:left="515"/>
              <w:rPr>
                <w:rFonts w:ascii="Times New Roman"/>
                <w:sz w:val="21"/>
              </w:rPr>
            </w:pPr>
            <w:r>
              <w:rPr>
                <w:rFonts w:ascii="Times New Roman"/>
                <w:color w:val="262626"/>
                <w:w w:val="110"/>
                <w:sz w:val="21"/>
              </w:rPr>
              <w:t>833</w:t>
            </w:r>
          </w:p>
        </w:tc>
        <w:tc>
          <w:tcPr>
            <w:tcW w:w="58" w:type="dxa"/>
          </w:tcPr>
          <w:p>
            <w:pPr>
              <w:pStyle w:val="TableParagraph"/>
              <w:rPr>
                <w:rFonts w:ascii="Times New Roman"/>
                <w:sz w:val="18"/>
              </w:rPr>
            </w:pPr>
          </w:p>
        </w:tc>
        <w:tc>
          <w:tcPr>
            <w:tcW w:w="1144" w:type="dxa"/>
          </w:tcPr>
          <w:p>
            <w:pPr>
              <w:pStyle w:val="TableParagraph"/>
              <w:spacing w:line="227" w:lineRule="exact"/>
              <w:ind w:left="360"/>
              <w:rPr>
                <w:rFonts w:ascii="Times New Roman"/>
                <w:sz w:val="21"/>
              </w:rPr>
            </w:pPr>
            <w:r>
              <w:rPr>
                <w:rFonts w:ascii="Times New Roman"/>
                <w:color w:val="262626"/>
                <w:w w:val="105"/>
                <w:sz w:val="21"/>
              </w:rPr>
              <w:t>2,301</w:t>
            </w:r>
          </w:p>
        </w:tc>
      </w:tr>
      <w:tr>
        <w:trPr>
          <w:trHeight w:val="242" w:hRule="atLeast"/>
        </w:trPr>
        <w:tc>
          <w:tcPr>
            <w:tcW w:w="4783" w:type="dxa"/>
          </w:tcPr>
          <w:p>
            <w:pPr>
              <w:pStyle w:val="TableParagraph"/>
              <w:spacing w:line="210" w:lineRule="exact" w:before="13"/>
              <w:ind w:left="67"/>
              <w:rPr>
                <w:sz w:val="19"/>
              </w:rPr>
            </w:pPr>
            <w:r>
              <w:rPr>
                <w:color w:val="363636"/>
                <w:w w:val="105"/>
                <w:sz w:val="19"/>
              </w:rPr>
              <w:t>Profit </w:t>
            </w:r>
            <w:r>
              <w:rPr>
                <w:color w:val="262626"/>
                <w:w w:val="105"/>
                <w:sz w:val="19"/>
              </w:rPr>
              <w:t>on Sale of Assets</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rPr>
                <w:rFonts w:ascii="Times New Roman"/>
                <w:sz w:val="16"/>
              </w:rPr>
            </w:pPr>
          </w:p>
        </w:tc>
        <w:tc>
          <w:tcPr>
            <w:tcW w:w="58" w:type="dxa"/>
          </w:tcPr>
          <w:p>
            <w:pPr>
              <w:pStyle w:val="TableParagraph"/>
              <w:rPr>
                <w:rFonts w:ascii="Times New Roman"/>
                <w:sz w:val="16"/>
              </w:rPr>
            </w:pPr>
          </w:p>
        </w:tc>
        <w:tc>
          <w:tcPr>
            <w:tcW w:w="1144" w:type="dxa"/>
          </w:tcPr>
          <w:p>
            <w:pPr>
              <w:pStyle w:val="TableParagraph"/>
              <w:spacing w:line="223" w:lineRule="exact"/>
              <w:ind w:left="528"/>
              <w:rPr>
                <w:rFonts w:ascii="Times New Roman"/>
                <w:sz w:val="21"/>
              </w:rPr>
            </w:pPr>
            <w:r>
              <w:rPr>
                <w:rFonts w:ascii="Times New Roman"/>
                <w:color w:val="262626"/>
                <w:w w:val="110"/>
                <w:sz w:val="21"/>
              </w:rPr>
              <w:t>630</w:t>
            </w:r>
          </w:p>
        </w:tc>
      </w:tr>
      <w:tr>
        <w:trPr>
          <w:trHeight w:val="476" w:hRule="atLeast"/>
        </w:trPr>
        <w:tc>
          <w:tcPr>
            <w:tcW w:w="4783" w:type="dxa"/>
          </w:tcPr>
          <w:p>
            <w:pPr>
              <w:pStyle w:val="TableParagraph"/>
              <w:spacing w:before="15"/>
              <w:ind w:left="68"/>
              <w:rPr>
                <w:sz w:val="19"/>
              </w:rPr>
            </w:pPr>
            <w:r>
              <w:rPr>
                <w:color w:val="363636"/>
                <w:w w:val="105"/>
                <w:sz w:val="19"/>
              </w:rPr>
              <w:t>Sundry Income</w:t>
            </w:r>
          </w:p>
        </w:tc>
        <w:tc>
          <w:tcPr>
            <w:tcW w:w="1298" w:type="dxa"/>
          </w:tcPr>
          <w:p>
            <w:pPr>
              <w:pStyle w:val="TableParagraph"/>
              <w:rPr>
                <w:rFonts w:ascii="Times New Roman"/>
                <w:sz w:val="18"/>
              </w:rPr>
            </w:pPr>
          </w:p>
        </w:tc>
        <w:tc>
          <w:tcPr>
            <w:tcW w:w="58" w:type="dxa"/>
            <w:tcBorders>
              <w:bottom w:val="single" w:sz="8" w:space="0" w:color="000000"/>
            </w:tcBorders>
          </w:tcPr>
          <w:p>
            <w:pPr>
              <w:pStyle w:val="TableParagraph"/>
              <w:rPr>
                <w:rFonts w:ascii="Times New Roman"/>
                <w:sz w:val="18"/>
              </w:rPr>
            </w:pPr>
          </w:p>
        </w:tc>
        <w:tc>
          <w:tcPr>
            <w:tcW w:w="1961" w:type="dxa"/>
            <w:tcBorders>
              <w:bottom w:val="single" w:sz="8" w:space="0" w:color="000000"/>
            </w:tcBorders>
          </w:tcPr>
          <w:p>
            <w:pPr>
              <w:pStyle w:val="TableParagraph"/>
              <w:spacing w:line="234" w:lineRule="exact"/>
              <w:ind w:left="249"/>
              <w:rPr>
                <w:rFonts w:ascii="Times New Roman"/>
                <w:sz w:val="21"/>
              </w:rPr>
            </w:pPr>
            <w:r>
              <w:rPr>
                <w:rFonts w:ascii="Times New Roman"/>
                <w:color w:val="363636"/>
                <w:w w:val="105"/>
                <w:sz w:val="21"/>
              </w:rPr>
              <w:t>10,064</w:t>
            </w:r>
          </w:p>
        </w:tc>
        <w:tc>
          <w:tcPr>
            <w:tcW w:w="58" w:type="dxa"/>
            <w:tcBorders>
              <w:bottom w:val="single" w:sz="6" w:space="0" w:color="000000"/>
            </w:tcBorders>
          </w:tcPr>
          <w:p>
            <w:pPr>
              <w:pStyle w:val="TableParagraph"/>
              <w:rPr>
                <w:rFonts w:ascii="Times New Roman"/>
                <w:sz w:val="18"/>
              </w:rPr>
            </w:pPr>
          </w:p>
        </w:tc>
        <w:tc>
          <w:tcPr>
            <w:tcW w:w="1144" w:type="dxa"/>
            <w:tcBorders>
              <w:bottom w:val="single" w:sz="6" w:space="0" w:color="000000"/>
            </w:tcBorders>
          </w:tcPr>
          <w:p>
            <w:pPr>
              <w:pStyle w:val="TableParagraph"/>
              <w:spacing w:line="234" w:lineRule="exact"/>
              <w:ind w:left="250"/>
              <w:rPr>
                <w:rFonts w:ascii="Times New Roman"/>
                <w:sz w:val="21"/>
              </w:rPr>
            </w:pPr>
            <w:r>
              <w:rPr>
                <w:rFonts w:ascii="Times New Roman"/>
                <w:color w:val="262626"/>
                <w:w w:val="110"/>
                <w:sz w:val="21"/>
              </w:rPr>
              <w:t>33,029</w:t>
            </w:r>
          </w:p>
        </w:tc>
      </w:tr>
      <w:tr>
        <w:trPr>
          <w:trHeight w:val="375" w:hRule="atLeast"/>
        </w:trPr>
        <w:tc>
          <w:tcPr>
            <w:tcW w:w="4783" w:type="dxa"/>
          </w:tcPr>
          <w:p>
            <w:pPr>
              <w:pStyle w:val="TableParagraph"/>
              <w:spacing w:before="13"/>
              <w:ind w:left="63"/>
              <w:rPr>
                <w:b/>
                <w:sz w:val="18"/>
              </w:rPr>
            </w:pPr>
            <w:r>
              <w:rPr>
                <w:b/>
                <w:color w:val="262626"/>
                <w:w w:val="110"/>
                <w:sz w:val="18"/>
              </w:rPr>
              <w:t>Total Revenue from Ordinary Activities</w:t>
            </w:r>
          </w:p>
        </w:tc>
        <w:tc>
          <w:tcPr>
            <w:tcW w:w="1298" w:type="dxa"/>
          </w:tcPr>
          <w:p>
            <w:pPr>
              <w:pStyle w:val="TableParagraph"/>
              <w:rPr>
                <w:rFonts w:ascii="Times New Roman"/>
                <w:sz w:val="18"/>
              </w:rPr>
            </w:pPr>
          </w:p>
        </w:tc>
        <w:tc>
          <w:tcPr>
            <w:tcW w:w="58" w:type="dxa"/>
            <w:tcBorders>
              <w:top w:val="single" w:sz="8" w:space="0" w:color="000000"/>
            </w:tcBorders>
          </w:tcPr>
          <w:p>
            <w:pPr>
              <w:pStyle w:val="TableParagraph"/>
              <w:rPr>
                <w:rFonts w:ascii="Times New Roman"/>
                <w:sz w:val="18"/>
              </w:rPr>
            </w:pPr>
          </w:p>
        </w:tc>
        <w:tc>
          <w:tcPr>
            <w:tcW w:w="1961" w:type="dxa"/>
            <w:tcBorders>
              <w:top w:val="single" w:sz="8" w:space="0" w:color="000000"/>
            </w:tcBorders>
          </w:tcPr>
          <w:p>
            <w:pPr>
              <w:pStyle w:val="TableParagraph"/>
              <w:spacing w:line="232" w:lineRule="exact"/>
              <w:ind w:left="216"/>
              <w:rPr>
                <w:rFonts w:ascii="Times New Roman"/>
                <w:sz w:val="21"/>
              </w:rPr>
            </w:pPr>
            <w:r>
              <w:rPr>
                <w:rFonts w:ascii="Times New Roman"/>
                <w:color w:val="262626"/>
                <w:w w:val="105"/>
                <w:sz w:val="21"/>
                <w:u w:val="thick" w:color="262626"/>
              </w:rPr>
              <w:t>654</w:t>
            </w:r>
            <w:r>
              <w:rPr>
                <w:rFonts w:ascii="Times New Roman"/>
                <w:color w:val="4F4F4F"/>
                <w:w w:val="105"/>
                <w:sz w:val="21"/>
                <w:u w:val="thick" w:color="262626"/>
              </w:rPr>
              <w:t>,</w:t>
            </w:r>
            <w:r>
              <w:rPr>
                <w:rFonts w:ascii="Times New Roman"/>
                <w:color w:val="262626"/>
                <w:w w:val="105"/>
                <w:sz w:val="21"/>
                <w:u w:val="thick" w:color="262626"/>
              </w:rPr>
              <w:t>904</w:t>
            </w:r>
          </w:p>
        </w:tc>
        <w:tc>
          <w:tcPr>
            <w:tcW w:w="58" w:type="dxa"/>
            <w:tcBorders>
              <w:top w:val="single" w:sz="6" w:space="0" w:color="000000"/>
            </w:tcBorders>
          </w:tcPr>
          <w:p>
            <w:pPr>
              <w:pStyle w:val="TableParagraph"/>
              <w:rPr>
                <w:rFonts w:ascii="Times New Roman"/>
                <w:sz w:val="18"/>
              </w:rPr>
            </w:pPr>
          </w:p>
        </w:tc>
        <w:tc>
          <w:tcPr>
            <w:tcW w:w="1144" w:type="dxa"/>
            <w:tcBorders>
              <w:top w:val="single" w:sz="6" w:space="0" w:color="000000"/>
            </w:tcBorders>
          </w:tcPr>
          <w:p>
            <w:pPr>
              <w:pStyle w:val="TableParagraph"/>
              <w:spacing w:line="228" w:lineRule="exact"/>
              <w:ind w:left="216"/>
              <w:rPr>
                <w:rFonts w:ascii="Times New Roman"/>
                <w:sz w:val="21"/>
              </w:rPr>
            </w:pPr>
            <w:r>
              <w:rPr>
                <w:rFonts w:ascii="Times New Roman"/>
                <w:color w:val="262626"/>
                <w:w w:val="110"/>
                <w:sz w:val="21"/>
                <w:u w:val="thick" w:color="262626"/>
              </w:rPr>
              <w:t>673</w:t>
            </w:r>
            <w:r>
              <w:rPr>
                <w:rFonts w:ascii="Times New Roman"/>
                <w:color w:val="4F4F4F"/>
                <w:w w:val="110"/>
                <w:sz w:val="21"/>
                <w:u w:val="thick" w:color="262626"/>
              </w:rPr>
              <w:t>,</w:t>
            </w:r>
            <w:r>
              <w:rPr>
                <w:rFonts w:ascii="Times New Roman"/>
                <w:color w:val="262626"/>
                <w:w w:val="110"/>
                <w:sz w:val="21"/>
                <w:u w:val="thick" w:color="262626"/>
              </w:rPr>
              <w:t>708</w:t>
            </w:r>
          </w:p>
        </w:tc>
      </w:tr>
      <w:tr>
        <w:trPr>
          <w:trHeight w:val="488" w:hRule="atLeast"/>
        </w:trPr>
        <w:tc>
          <w:tcPr>
            <w:tcW w:w="4783" w:type="dxa"/>
          </w:tcPr>
          <w:p>
            <w:pPr>
              <w:pStyle w:val="TableParagraph"/>
              <w:spacing w:before="142"/>
              <w:ind w:left="69"/>
              <w:rPr>
                <w:b/>
                <w:sz w:val="18"/>
              </w:rPr>
            </w:pPr>
            <w:r>
              <w:rPr>
                <w:b/>
                <w:color w:val="262626"/>
                <w:w w:val="110"/>
                <w:sz w:val="18"/>
              </w:rPr>
              <w:t>Expenses from Ordinary Activities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rPr>
                <w:rFonts w:ascii="Times New Roman"/>
                <w:sz w:val="18"/>
              </w:rPr>
            </w:pPr>
          </w:p>
        </w:tc>
        <w:tc>
          <w:tcPr>
            <w:tcW w:w="58" w:type="dxa"/>
          </w:tcPr>
          <w:p>
            <w:pPr>
              <w:pStyle w:val="TableParagraph"/>
              <w:rPr>
                <w:rFonts w:ascii="Times New Roman"/>
                <w:sz w:val="18"/>
              </w:rPr>
            </w:pPr>
          </w:p>
        </w:tc>
        <w:tc>
          <w:tcPr>
            <w:tcW w:w="1144" w:type="dxa"/>
          </w:tcPr>
          <w:p>
            <w:pPr>
              <w:pStyle w:val="TableParagraph"/>
              <w:rPr>
                <w:rFonts w:ascii="Times New Roman"/>
                <w:sz w:val="18"/>
              </w:rPr>
            </w:pPr>
          </w:p>
        </w:tc>
      </w:tr>
      <w:tr>
        <w:trPr>
          <w:trHeight w:val="381" w:hRule="atLeast"/>
        </w:trPr>
        <w:tc>
          <w:tcPr>
            <w:tcW w:w="4783" w:type="dxa"/>
          </w:tcPr>
          <w:p>
            <w:pPr>
              <w:pStyle w:val="TableParagraph"/>
              <w:spacing w:line="213" w:lineRule="exact" w:before="148"/>
              <w:ind w:left="1101"/>
              <w:rPr>
                <w:sz w:val="19"/>
              </w:rPr>
            </w:pPr>
            <w:r>
              <w:rPr>
                <w:color w:val="363636"/>
                <w:w w:val="105"/>
                <w:sz w:val="19"/>
              </w:rPr>
              <w:t>Accounting </w:t>
            </w:r>
            <w:r>
              <w:rPr>
                <w:color w:val="262626"/>
                <w:w w:val="105"/>
                <w:sz w:val="19"/>
              </w:rPr>
              <w:t>and Audit </w:t>
            </w:r>
            <w:r>
              <w:rPr>
                <w:color w:val="363636"/>
                <w:w w:val="105"/>
                <w:sz w:val="19"/>
              </w:rPr>
              <w:t>fees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0" w:lineRule="exact" w:before="131"/>
              <w:ind w:left="369"/>
              <w:rPr>
                <w:rFonts w:ascii="Times New Roman"/>
                <w:sz w:val="21"/>
              </w:rPr>
            </w:pPr>
            <w:r>
              <w:rPr>
                <w:rFonts w:ascii="Times New Roman"/>
                <w:color w:val="363636"/>
                <w:w w:val="105"/>
                <w:sz w:val="21"/>
              </w:rPr>
              <w:t>5,012</w:t>
            </w:r>
          </w:p>
        </w:tc>
        <w:tc>
          <w:tcPr>
            <w:tcW w:w="58" w:type="dxa"/>
          </w:tcPr>
          <w:p>
            <w:pPr>
              <w:pStyle w:val="TableParagraph"/>
              <w:rPr>
                <w:rFonts w:ascii="Times New Roman"/>
                <w:sz w:val="18"/>
              </w:rPr>
            </w:pPr>
          </w:p>
        </w:tc>
        <w:tc>
          <w:tcPr>
            <w:tcW w:w="1144" w:type="dxa"/>
          </w:tcPr>
          <w:p>
            <w:pPr>
              <w:pStyle w:val="TableParagraph"/>
              <w:spacing w:line="230" w:lineRule="exact" w:before="131"/>
              <w:ind w:left="373"/>
              <w:rPr>
                <w:rFonts w:ascii="Times New Roman"/>
                <w:sz w:val="21"/>
              </w:rPr>
            </w:pPr>
            <w:r>
              <w:rPr>
                <w:rFonts w:ascii="Times New Roman"/>
                <w:color w:val="363636"/>
                <w:w w:val="105"/>
                <w:sz w:val="21"/>
              </w:rPr>
              <w:t>5</w:t>
            </w:r>
            <w:r>
              <w:rPr>
                <w:rFonts w:ascii="Times New Roman"/>
                <w:color w:val="4F4F4F"/>
                <w:w w:val="105"/>
                <w:sz w:val="21"/>
              </w:rPr>
              <w:t>,</w:t>
            </w:r>
            <w:r>
              <w:rPr>
                <w:rFonts w:ascii="Times New Roman"/>
                <w:color w:val="262626"/>
                <w:w w:val="105"/>
                <w:sz w:val="21"/>
              </w:rPr>
              <w:t>073</w:t>
            </w:r>
          </w:p>
        </w:tc>
      </w:tr>
      <w:tr>
        <w:trPr>
          <w:trHeight w:val="255" w:hRule="atLeast"/>
        </w:trPr>
        <w:tc>
          <w:tcPr>
            <w:tcW w:w="4783" w:type="dxa"/>
          </w:tcPr>
          <w:p>
            <w:pPr>
              <w:pStyle w:val="TableParagraph"/>
              <w:spacing w:line="218" w:lineRule="exact" w:before="17"/>
              <w:ind w:left="1101"/>
              <w:rPr>
                <w:sz w:val="19"/>
              </w:rPr>
            </w:pPr>
            <w:r>
              <w:rPr>
                <w:color w:val="262626"/>
                <w:w w:val="105"/>
                <w:sz w:val="19"/>
              </w:rPr>
              <w:t>Advertising and </w:t>
            </w:r>
            <w:r>
              <w:rPr>
                <w:color w:val="363636"/>
                <w:w w:val="105"/>
                <w:sz w:val="19"/>
              </w:rPr>
              <w:t>recruitment</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rPr>
                <w:rFonts w:ascii="Times New Roman"/>
                <w:sz w:val="18"/>
              </w:rPr>
            </w:pPr>
          </w:p>
        </w:tc>
        <w:tc>
          <w:tcPr>
            <w:tcW w:w="58" w:type="dxa"/>
          </w:tcPr>
          <w:p>
            <w:pPr>
              <w:pStyle w:val="TableParagraph"/>
              <w:rPr>
                <w:rFonts w:ascii="Times New Roman"/>
                <w:sz w:val="18"/>
              </w:rPr>
            </w:pPr>
          </w:p>
        </w:tc>
        <w:tc>
          <w:tcPr>
            <w:tcW w:w="1144" w:type="dxa"/>
          </w:tcPr>
          <w:p>
            <w:pPr>
              <w:pStyle w:val="TableParagraph"/>
              <w:spacing w:line="235" w:lineRule="exact"/>
              <w:ind w:left="369"/>
              <w:rPr>
                <w:rFonts w:ascii="Times New Roman"/>
                <w:i/>
                <w:sz w:val="22"/>
              </w:rPr>
            </w:pPr>
            <w:r>
              <w:rPr>
                <w:rFonts w:ascii="Times New Roman"/>
                <w:i/>
                <w:color w:val="363636"/>
                <w:w w:val="110"/>
                <w:sz w:val="22"/>
              </w:rPr>
              <w:t>6A64</w:t>
            </w:r>
          </w:p>
        </w:tc>
      </w:tr>
      <w:tr>
        <w:trPr>
          <w:trHeight w:val="246" w:hRule="atLeast"/>
        </w:trPr>
        <w:tc>
          <w:tcPr>
            <w:tcW w:w="4783" w:type="dxa"/>
          </w:tcPr>
          <w:p>
            <w:pPr>
              <w:pStyle w:val="TableParagraph"/>
              <w:spacing w:line="215" w:lineRule="exact" w:before="11"/>
              <w:ind w:left="1101"/>
              <w:rPr>
                <w:sz w:val="19"/>
              </w:rPr>
            </w:pPr>
            <w:r>
              <w:rPr>
                <w:color w:val="262626"/>
                <w:w w:val="105"/>
                <w:sz w:val="19"/>
              </w:rPr>
              <w:t>AGM </w:t>
            </w:r>
            <w:r>
              <w:rPr>
                <w:color w:val="363636"/>
                <w:w w:val="105"/>
                <w:sz w:val="19"/>
              </w:rPr>
              <w:t>and </w:t>
            </w:r>
            <w:r>
              <w:rPr>
                <w:color w:val="262626"/>
                <w:w w:val="105"/>
                <w:sz w:val="19"/>
              </w:rPr>
              <w:t>General Meeting costs</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6" w:lineRule="exact"/>
              <w:ind w:left="379"/>
              <w:rPr>
                <w:rFonts w:ascii="Times New Roman"/>
                <w:sz w:val="21"/>
              </w:rPr>
            </w:pPr>
            <w:r>
              <w:rPr>
                <w:rFonts w:ascii="Times New Roman"/>
                <w:color w:val="363636"/>
                <w:w w:val="110"/>
                <w:sz w:val="21"/>
              </w:rPr>
              <w:t>2</w:t>
            </w:r>
            <w:r>
              <w:rPr>
                <w:rFonts w:ascii="Times New Roman"/>
                <w:color w:val="4F4F4F"/>
                <w:w w:val="110"/>
                <w:sz w:val="21"/>
              </w:rPr>
              <w:t>,</w:t>
            </w:r>
            <w:r>
              <w:rPr>
                <w:rFonts w:ascii="Times New Roman"/>
                <w:color w:val="262626"/>
                <w:w w:val="110"/>
                <w:sz w:val="21"/>
              </w:rPr>
              <w:t>206</w:t>
            </w:r>
          </w:p>
        </w:tc>
        <w:tc>
          <w:tcPr>
            <w:tcW w:w="58" w:type="dxa"/>
          </w:tcPr>
          <w:p>
            <w:pPr>
              <w:pStyle w:val="TableParagraph"/>
              <w:rPr>
                <w:rFonts w:ascii="Times New Roman"/>
                <w:sz w:val="16"/>
              </w:rPr>
            </w:pPr>
          </w:p>
        </w:tc>
        <w:tc>
          <w:tcPr>
            <w:tcW w:w="1144" w:type="dxa"/>
          </w:tcPr>
          <w:p>
            <w:pPr>
              <w:pStyle w:val="TableParagraph"/>
              <w:spacing w:line="226" w:lineRule="exact"/>
              <w:ind w:left="374"/>
              <w:rPr>
                <w:rFonts w:ascii="Times New Roman"/>
                <w:sz w:val="21"/>
              </w:rPr>
            </w:pPr>
            <w:r>
              <w:rPr>
                <w:rFonts w:ascii="Times New Roman"/>
                <w:color w:val="363636"/>
                <w:w w:val="110"/>
                <w:sz w:val="21"/>
              </w:rPr>
              <w:t>6</w:t>
            </w:r>
            <w:r>
              <w:rPr>
                <w:rFonts w:ascii="Times New Roman"/>
                <w:color w:val="4F4F4F"/>
                <w:w w:val="110"/>
                <w:sz w:val="21"/>
              </w:rPr>
              <w:t>,</w:t>
            </w:r>
            <w:r>
              <w:rPr>
                <w:rFonts w:ascii="Times New Roman"/>
                <w:color w:val="262626"/>
                <w:w w:val="110"/>
                <w:sz w:val="21"/>
              </w:rPr>
              <w:t>665</w:t>
            </w:r>
          </w:p>
        </w:tc>
      </w:tr>
      <w:tr>
        <w:trPr>
          <w:trHeight w:val="252" w:hRule="atLeast"/>
        </w:trPr>
        <w:tc>
          <w:tcPr>
            <w:tcW w:w="4783" w:type="dxa"/>
          </w:tcPr>
          <w:p>
            <w:pPr>
              <w:pStyle w:val="TableParagraph"/>
              <w:spacing w:line="217" w:lineRule="exact" w:before="15"/>
              <w:ind w:left="1096"/>
              <w:rPr>
                <w:sz w:val="19"/>
              </w:rPr>
            </w:pPr>
            <w:r>
              <w:rPr>
                <w:color w:val="262626"/>
                <w:w w:val="105"/>
                <w:sz w:val="19"/>
              </w:rPr>
              <w:t>Depreciation</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2" w:lineRule="exact"/>
              <w:ind w:left="263"/>
              <w:rPr>
                <w:rFonts w:ascii="Times New Roman"/>
                <w:sz w:val="21"/>
              </w:rPr>
            </w:pPr>
            <w:r>
              <w:rPr>
                <w:rFonts w:ascii="Times New Roman"/>
                <w:color w:val="363636"/>
                <w:w w:val="110"/>
                <w:sz w:val="21"/>
              </w:rPr>
              <w:t>11</w:t>
            </w:r>
            <w:r>
              <w:rPr>
                <w:rFonts w:ascii="Times New Roman"/>
                <w:color w:val="4F4F4F"/>
                <w:w w:val="110"/>
                <w:sz w:val="21"/>
              </w:rPr>
              <w:t>,</w:t>
            </w:r>
            <w:r>
              <w:rPr>
                <w:rFonts w:ascii="Times New Roman"/>
                <w:color w:val="363636"/>
                <w:w w:val="110"/>
                <w:sz w:val="21"/>
              </w:rPr>
              <w:t>595</w:t>
            </w:r>
          </w:p>
        </w:tc>
        <w:tc>
          <w:tcPr>
            <w:tcW w:w="58" w:type="dxa"/>
          </w:tcPr>
          <w:p>
            <w:pPr>
              <w:pStyle w:val="TableParagraph"/>
              <w:rPr>
                <w:rFonts w:ascii="Times New Roman"/>
                <w:sz w:val="18"/>
              </w:rPr>
            </w:pPr>
          </w:p>
        </w:tc>
        <w:tc>
          <w:tcPr>
            <w:tcW w:w="1144" w:type="dxa"/>
          </w:tcPr>
          <w:p>
            <w:pPr>
              <w:pStyle w:val="TableParagraph"/>
              <w:spacing w:line="230" w:lineRule="exact" w:before="2"/>
              <w:ind w:left="384"/>
              <w:rPr>
                <w:rFonts w:ascii="Times New Roman"/>
                <w:sz w:val="21"/>
              </w:rPr>
            </w:pPr>
            <w:r>
              <w:rPr>
                <w:rFonts w:ascii="Times New Roman"/>
                <w:color w:val="262626"/>
                <w:w w:val="110"/>
                <w:sz w:val="21"/>
              </w:rPr>
              <w:t>9</w:t>
            </w:r>
            <w:r>
              <w:rPr>
                <w:rFonts w:ascii="Times New Roman"/>
                <w:color w:val="4F4F4F"/>
                <w:w w:val="110"/>
                <w:sz w:val="21"/>
              </w:rPr>
              <w:t>,</w:t>
            </w:r>
            <w:r>
              <w:rPr>
                <w:rFonts w:ascii="Times New Roman"/>
                <w:color w:val="262626"/>
                <w:w w:val="110"/>
                <w:sz w:val="21"/>
              </w:rPr>
              <w:t>609</w:t>
            </w:r>
          </w:p>
        </w:tc>
      </w:tr>
      <w:tr>
        <w:trPr>
          <w:trHeight w:val="247" w:hRule="atLeast"/>
        </w:trPr>
        <w:tc>
          <w:tcPr>
            <w:tcW w:w="4783" w:type="dxa"/>
          </w:tcPr>
          <w:p>
            <w:pPr>
              <w:pStyle w:val="TableParagraph"/>
              <w:spacing w:line="215" w:lineRule="exact" w:before="13"/>
              <w:ind w:left="1100"/>
              <w:rPr>
                <w:sz w:val="19"/>
              </w:rPr>
            </w:pPr>
            <w:r>
              <w:rPr>
                <w:color w:val="363636"/>
                <w:w w:val="105"/>
                <w:sz w:val="19"/>
              </w:rPr>
              <w:t>Equipment Expenses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7" w:lineRule="exact"/>
              <w:ind w:left="380"/>
              <w:rPr>
                <w:rFonts w:ascii="Times New Roman"/>
                <w:sz w:val="21"/>
              </w:rPr>
            </w:pPr>
            <w:r>
              <w:rPr>
                <w:rFonts w:ascii="Times New Roman"/>
                <w:color w:val="262626"/>
                <w:w w:val="105"/>
                <w:sz w:val="21"/>
              </w:rPr>
              <w:t>9,559</w:t>
            </w:r>
          </w:p>
        </w:tc>
        <w:tc>
          <w:tcPr>
            <w:tcW w:w="58" w:type="dxa"/>
          </w:tcPr>
          <w:p>
            <w:pPr>
              <w:pStyle w:val="TableParagraph"/>
              <w:rPr>
                <w:rFonts w:ascii="Times New Roman"/>
                <w:sz w:val="18"/>
              </w:rPr>
            </w:pPr>
          </w:p>
        </w:tc>
        <w:tc>
          <w:tcPr>
            <w:tcW w:w="1144" w:type="dxa"/>
          </w:tcPr>
          <w:p>
            <w:pPr>
              <w:pStyle w:val="TableParagraph"/>
              <w:spacing w:line="210" w:lineRule="exact" w:before="17"/>
              <w:ind w:left="274"/>
              <w:rPr>
                <w:sz w:val="19"/>
              </w:rPr>
            </w:pPr>
            <w:r>
              <w:rPr>
                <w:color w:val="262626"/>
                <w:w w:val="110"/>
                <w:sz w:val="19"/>
              </w:rPr>
              <w:t>31</w:t>
            </w:r>
            <w:r>
              <w:rPr>
                <w:color w:val="4F4F4F"/>
                <w:w w:val="110"/>
                <w:sz w:val="19"/>
              </w:rPr>
              <w:t>,</w:t>
            </w:r>
            <w:r>
              <w:rPr>
                <w:color w:val="262626"/>
                <w:w w:val="110"/>
                <w:sz w:val="19"/>
              </w:rPr>
              <w:t>008</w:t>
            </w:r>
          </w:p>
        </w:tc>
      </w:tr>
      <w:tr>
        <w:trPr>
          <w:trHeight w:val="245" w:hRule="atLeast"/>
        </w:trPr>
        <w:tc>
          <w:tcPr>
            <w:tcW w:w="4783" w:type="dxa"/>
          </w:tcPr>
          <w:p>
            <w:pPr>
              <w:pStyle w:val="TableParagraph"/>
              <w:spacing w:line="219" w:lineRule="exact" w:before="6"/>
              <w:ind w:left="1098"/>
              <w:rPr>
                <w:sz w:val="19"/>
              </w:rPr>
            </w:pPr>
            <w:r>
              <w:rPr>
                <w:color w:val="262626"/>
                <w:sz w:val="19"/>
              </w:rPr>
              <w:t>Insurances - General </w:t>
            </w:r>
            <w:r>
              <w:rPr>
                <w:color w:val="262626"/>
                <w:sz w:val="20"/>
              </w:rPr>
              <w:t>&amp; </w:t>
            </w:r>
            <w:r>
              <w:rPr>
                <w:color w:val="363636"/>
                <w:sz w:val="19"/>
              </w:rPr>
              <w:t>Motor </w:t>
            </w:r>
            <w:r>
              <w:rPr>
                <w:color w:val="262626"/>
                <w:sz w:val="19"/>
              </w:rPr>
              <w:t>Vehicle</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5" w:lineRule="exact"/>
              <w:ind w:left="389"/>
              <w:rPr>
                <w:rFonts w:ascii="Times New Roman"/>
                <w:sz w:val="21"/>
              </w:rPr>
            </w:pPr>
            <w:r>
              <w:rPr>
                <w:rFonts w:ascii="Times New Roman"/>
                <w:color w:val="262626"/>
                <w:w w:val="105"/>
                <w:sz w:val="21"/>
              </w:rPr>
              <w:t>9,423</w:t>
            </w:r>
          </w:p>
        </w:tc>
        <w:tc>
          <w:tcPr>
            <w:tcW w:w="58" w:type="dxa"/>
          </w:tcPr>
          <w:p>
            <w:pPr>
              <w:pStyle w:val="TableParagraph"/>
              <w:rPr>
                <w:rFonts w:ascii="Times New Roman"/>
                <w:sz w:val="16"/>
              </w:rPr>
            </w:pPr>
          </w:p>
        </w:tc>
        <w:tc>
          <w:tcPr>
            <w:tcW w:w="1144" w:type="dxa"/>
          </w:tcPr>
          <w:p>
            <w:pPr>
              <w:pStyle w:val="TableParagraph"/>
              <w:spacing w:line="225" w:lineRule="exact"/>
              <w:ind w:left="385"/>
              <w:rPr>
                <w:rFonts w:ascii="Times New Roman"/>
                <w:sz w:val="21"/>
              </w:rPr>
            </w:pPr>
            <w:r>
              <w:rPr>
                <w:rFonts w:ascii="Times New Roman"/>
                <w:color w:val="262626"/>
                <w:sz w:val="21"/>
              </w:rPr>
              <w:t>8</w:t>
            </w:r>
            <w:r>
              <w:rPr>
                <w:rFonts w:ascii="Times New Roman"/>
                <w:color w:val="4F4F4F"/>
                <w:sz w:val="21"/>
              </w:rPr>
              <w:t>,</w:t>
            </w:r>
            <w:r>
              <w:rPr>
                <w:rFonts w:ascii="Times New Roman"/>
                <w:color w:val="262626"/>
                <w:sz w:val="21"/>
              </w:rPr>
              <w:t>068</w:t>
            </w:r>
          </w:p>
        </w:tc>
      </w:tr>
      <w:tr>
        <w:trPr>
          <w:trHeight w:val="247" w:hRule="atLeast"/>
        </w:trPr>
        <w:tc>
          <w:tcPr>
            <w:tcW w:w="4783" w:type="dxa"/>
          </w:tcPr>
          <w:p>
            <w:pPr>
              <w:pStyle w:val="TableParagraph"/>
              <w:spacing w:line="212" w:lineRule="exact" w:before="15"/>
              <w:ind w:left="1107"/>
              <w:rPr>
                <w:sz w:val="19"/>
              </w:rPr>
            </w:pPr>
            <w:r>
              <w:rPr>
                <w:color w:val="262626"/>
                <w:w w:val="105"/>
                <w:sz w:val="19"/>
              </w:rPr>
              <w:t>I.T. Expenses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12" w:lineRule="exact" w:before="15"/>
              <w:ind w:left="390"/>
              <w:rPr>
                <w:sz w:val="19"/>
              </w:rPr>
            </w:pPr>
            <w:r>
              <w:rPr>
                <w:color w:val="363636"/>
                <w:sz w:val="19"/>
              </w:rPr>
              <w:t>9,371</w:t>
            </w:r>
          </w:p>
        </w:tc>
        <w:tc>
          <w:tcPr>
            <w:tcW w:w="58" w:type="dxa"/>
          </w:tcPr>
          <w:p>
            <w:pPr>
              <w:pStyle w:val="TableParagraph"/>
              <w:rPr>
                <w:rFonts w:ascii="Times New Roman"/>
                <w:sz w:val="18"/>
              </w:rPr>
            </w:pPr>
          </w:p>
        </w:tc>
        <w:tc>
          <w:tcPr>
            <w:tcW w:w="1144" w:type="dxa"/>
          </w:tcPr>
          <w:p>
            <w:pPr>
              <w:pStyle w:val="TableParagraph"/>
              <w:spacing w:line="227" w:lineRule="exact"/>
              <w:ind w:left="267"/>
              <w:rPr>
                <w:rFonts w:ascii="Times New Roman"/>
                <w:sz w:val="21"/>
              </w:rPr>
            </w:pPr>
            <w:r>
              <w:rPr>
                <w:rFonts w:ascii="Times New Roman"/>
                <w:color w:val="363636"/>
                <w:w w:val="110"/>
                <w:sz w:val="21"/>
              </w:rPr>
              <w:t>15,229</w:t>
            </w:r>
          </w:p>
        </w:tc>
      </w:tr>
      <w:tr>
        <w:trPr>
          <w:trHeight w:val="252" w:hRule="atLeast"/>
        </w:trPr>
        <w:tc>
          <w:tcPr>
            <w:tcW w:w="4783" w:type="dxa"/>
          </w:tcPr>
          <w:p>
            <w:pPr>
              <w:pStyle w:val="TableParagraph"/>
              <w:spacing w:line="215" w:lineRule="exact" w:before="17"/>
              <w:ind w:left="1101"/>
              <w:rPr>
                <w:sz w:val="19"/>
              </w:rPr>
            </w:pPr>
            <w:r>
              <w:rPr>
                <w:color w:val="262626"/>
                <w:w w:val="105"/>
                <w:sz w:val="19"/>
              </w:rPr>
              <w:t>Newsletter</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2" w:lineRule="exact"/>
              <w:ind w:left="539"/>
              <w:rPr>
                <w:rFonts w:ascii="Times New Roman"/>
                <w:sz w:val="21"/>
              </w:rPr>
            </w:pPr>
            <w:r>
              <w:rPr>
                <w:rFonts w:ascii="Times New Roman"/>
                <w:color w:val="262626"/>
                <w:sz w:val="21"/>
              </w:rPr>
              <w:t>886</w:t>
            </w:r>
          </w:p>
        </w:tc>
        <w:tc>
          <w:tcPr>
            <w:tcW w:w="58" w:type="dxa"/>
          </w:tcPr>
          <w:p>
            <w:pPr>
              <w:pStyle w:val="TableParagraph"/>
              <w:rPr>
                <w:rFonts w:ascii="Times New Roman"/>
                <w:sz w:val="18"/>
              </w:rPr>
            </w:pPr>
          </w:p>
        </w:tc>
        <w:tc>
          <w:tcPr>
            <w:tcW w:w="1144" w:type="dxa"/>
          </w:tcPr>
          <w:p>
            <w:pPr>
              <w:pStyle w:val="TableParagraph"/>
              <w:spacing w:line="228" w:lineRule="exact" w:before="4"/>
              <w:ind w:left="548"/>
              <w:rPr>
                <w:rFonts w:ascii="Times New Roman"/>
                <w:sz w:val="21"/>
              </w:rPr>
            </w:pPr>
            <w:r>
              <w:rPr>
                <w:rFonts w:ascii="Times New Roman"/>
                <w:color w:val="262626"/>
                <w:w w:val="110"/>
                <w:sz w:val="21"/>
              </w:rPr>
              <w:t>836</w:t>
            </w:r>
          </w:p>
        </w:tc>
      </w:tr>
      <w:tr>
        <w:trPr>
          <w:trHeight w:val="245" w:hRule="atLeast"/>
        </w:trPr>
        <w:tc>
          <w:tcPr>
            <w:tcW w:w="4783" w:type="dxa"/>
          </w:tcPr>
          <w:p>
            <w:pPr>
              <w:pStyle w:val="TableParagraph"/>
              <w:spacing w:line="210" w:lineRule="exact" w:before="15"/>
              <w:ind w:left="1105"/>
              <w:rPr>
                <w:sz w:val="19"/>
              </w:rPr>
            </w:pPr>
            <w:r>
              <w:rPr>
                <w:color w:val="262626"/>
                <w:w w:val="105"/>
                <w:sz w:val="19"/>
              </w:rPr>
              <w:t>Postage</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5" w:lineRule="exact"/>
              <w:ind w:left="549"/>
              <w:rPr>
                <w:rFonts w:ascii="Times New Roman"/>
                <w:sz w:val="21"/>
              </w:rPr>
            </w:pPr>
            <w:r>
              <w:rPr>
                <w:rFonts w:ascii="Times New Roman"/>
                <w:color w:val="262626"/>
                <w:w w:val="105"/>
                <w:sz w:val="21"/>
              </w:rPr>
              <w:t>722</w:t>
            </w:r>
          </w:p>
        </w:tc>
        <w:tc>
          <w:tcPr>
            <w:tcW w:w="58" w:type="dxa"/>
          </w:tcPr>
          <w:p>
            <w:pPr>
              <w:pStyle w:val="TableParagraph"/>
              <w:rPr>
                <w:rFonts w:ascii="Times New Roman"/>
                <w:sz w:val="16"/>
              </w:rPr>
            </w:pPr>
          </w:p>
        </w:tc>
        <w:tc>
          <w:tcPr>
            <w:tcW w:w="1144" w:type="dxa"/>
          </w:tcPr>
          <w:p>
            <w:pPr>
              <w:pStyle w:val="TableParagraph"/>
              <w:spacing w:line="210" w:lineRule="exact" w:before="15"/>
              <w:ind w:left="387"/>
              <w:rPr>
                <w:sz w:val="19"/>
              </w:rPr>
            </w:pPr>
            <w:r>
              <w:rPr>
                <w:color w:val="262626"/>
                <w:w w:val="110"/>
                <w:sz w:val="19"/>
              </w:rPr>
              <w:t>1,403</w:t>
            </w:r>
          </w:p>
        </w:tc>
      </w:tr>
      <w:tr>
        <w:trPr>
          <w:trHeight w:val="247" w:hRule="atLeast"/>
        </w:trPr>
        <w:tc>
          <w:tcPr>
            <w:tcW w:w="4783" w:type="dxa"/>
          </w:tcPr>
          <w:p>
            <w:pPr>
              <w:pStyle w:val="TableParagraph"/>
              <w:spacing w:line="212" w:lineRule="exact" w:before="15"/>
              <w:ind w:left="1105"/>
              <w:rPr>
                <w:sz w:val="19"/>
              </w:rPr>
            </w:pPr>
            <w:r>
              <w:rPr>
                <w:color w:val="262626"/>
                <w:w w:val="105"/>
                <w:sz w:val="19"/>
              </w:rPr>
              <w:t>Printing and Stationery</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5" w:lineRule="exact" w:before="2"/>
              <w:ind w:left="282"/>
              <w:rPr>
                <w:rFonts w:ascii="Times New Roman"/>
                <w:sz w:val="21"/>
              </w:rPr>
            </w:pPr>
            <w:r>
              <w:rPr>
                <w:rFonts w:ascii="Times New Roman"/>
                <w:color w:val="262626"/>
                <w:w w:val="105"/>
                <w:sz w:val="21"/>
              </w:rPr>
              <w:t>14</w:t>
            </w:r>
            <w:r>
              <w:rPr>
                <w:rFonts w:ascii="Times New Roman"/>
                <w:color w:val="4F4F4F"/>
                <w:w w:val="105"/>
                <w:sz w:val="21"/>
              </w:rPr>
              <w:t>,</w:t>
            </w:r>
            <w:r>
              <w:rPr>
                <w:rFonts w:ascii="Times New Roman"/>
                <w:color w:val="262626"/>
                <w:w w:val="105"/>
                <w:sz w:val="21"/>
              </w:rPr>
              <w:t>074</w:t>
            </w:r>
          </w:p>
        </w:tc>
        <w:tc>
          <w:tcPr>
            <w:tcW w:w="58" w:type="dxa"/>
          </w:tcPr>
          <w:p>
            <w:pPr>
              <w:pStyle w:val="TableParagraph"/>
              <w:rPr>
                <w:rFonts w:ascii="Times New Roman"/>
                <w:sz w:val="18"/>
              </w:rPr>
            </w:pPr>
          </w:p>
        </w:tc>
        <w:tc>
          <w:tcPr>
            <w:tcW w:w="1144" w:type="dxa"/>
          </w:tcPr>
          <w:p>
            <w:pPr>
              <w:pStyle w:val="TableParagraph"/>
              <w:spacing w:line="227" w:lineRule="exact"/>
              <w:ind w:left="277"/>
              <w:rPr>
                <w:rFonts w:ascii="Times New Roman"/>
                <w:sz w:val="21"/>
              </w:rPr>
            </w:pPr>
            <w:r>
              <w:rPr>
                <w:rFonts w:ascii="Times New Roman"/>
                <w:color w:val="363636"/>
                <w:w w:val="110"/>
                <w:sz w:val="21"/>
              </w:rPr>
              <w:t>17,204</w:t>
            </w:r>
          </w:p>
        </w:tc>
      </w:tr>
      <w:tr>
        <w:trPr>
          <w:trHeight w:val="245" w:hRule="atLeast"/>
        </w:trPr>
        <w:tc>
          <w:tcPr>
            <w:tcW w:w="4783" w:type="dxa"/>
          </w:tcPr>
          <w:p>
            <w:pPr>
              <w:pStyle w:val="TableParagraph"/>
              <w:spacing w:line="207" w:lineRule="exact" w:before="17"/>
              <w:ind w:left="1105"/>
              <w:rPr>
                <w:sz w:val="19"/>
              </w:rPr>
            </w:pPr>
            <w:r>
              <w:rPr>
                <w:color w:val="262626"/>
                <w:w w:val="105"/>
                <w:sz w:val="19"/>
              </w:rPr>
              <w:t>Rent</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198" w:lineRule="exact" w:before="27"/>
              <w:ind w:left="288"/>
              <w:rPr>
                <w:b/>
                <w:sz w:val="18"/>
              </w:rPr>
            </w:pPr>
            <w:r>
              <w:rPr>
                <w:b/>
                <w:color w:val="363636"/>
                <w:w w:val="110"/>
                <w:sz w:val="18"/>
              </w:rPr>
              <w:t>23</w:t>
            </w:r>
            <w:r>
              <w:rPr>
                <w:b/>
                <w:color w:val="4F4F4F"/>
                <w:w w:val="110"/>
                <w:sz w:val="18"/>
              </w:rPr>
              <w:t>,</w:t>
            </w:r>
            <w:r>
              <w:rPr>
                <w:b/>
                <w:color w:val="363636"/>
                <w:w w:val="110"/>
                <w:sz w:val="18"/>
              </w:rPr>
              <w:t>161</w:t>
            </w:r>
          </w:p>
        </w:tc>
        <w:tc>
          <w:tcPr>
            <w:tcW w:w="58" w:type="dxa"/>
          </w:tcPr>
          <w:p>
            <w:pPr>
              <w:pStyle w:val="TableParagraph"/>
              <w:rPr>
                <w:rFonts w:ascii="Times New Roman"/>
                <w:sz w:val="16"/>
              </w:rPr>
            </w:pPr>
          </w:p>
        </w:tc>
        <w:tc>
          <w:tcPr>
            <w:tcW w:w="1144" w:type="dxa"/>
          </w:tcPr>
          <w:p>
            <w:pPr>
              <w:pStyle w:val="TableParagraph"/>
              <w:spacing w:line="225" w:lineRule="exact"/>
              <w:ind w:left="283"/>
              <w:rPr>
                <w:rFonts w:ascii="Times New Roman"/>
                <w:sz w:val="21"/>
              </w:rPr>
            </w:pPr>
            <w:r>
              <w:rPr>
                <w:rFonts w:ascii="Times New Roman"/>
                <w:color w:val="262626"/>
                <w:w w:val="105"/>
                <w:sz w:val="21"/>
              </w:rPr>
              <w:t>60,108</w:t>
            </w:r>
          </w:p>
        </w:tc>
      </w:tr>
      <w:tr>
        <w:trPr>
          <w:trHeight w:val="247" w:hRule="atLeast"/>
        </w:trPr>
        <w:tc>
          <w:tcPr>
            <w:tcW w:w="4783" w:type="dxa"/>
          </w:tcPr>
          <w:p>
            <w:pPr>
              <w:pStyle w:val="TableParagraph"/>
              <w:spacing w:line="210" w:lineRule="exact" w:before="17"/>
              <w:ind w:left="1105"/>
              <w:rPr>
                <w:sz w:val="19"/>
              </w:rPr>
            </w:pPr>
            <w:r>
              <w:rPr>
                <w:color w:val="363636"/>
                <w:w w:val="105"/>
                <w:sz w:val="19"/>
              </w:rPr>
              <w:t>Repairs </w:t>
            </w:r>
            <w:r>
              <w:rPr>
                <w:color w:val="262626"/>
                <w:w w:val="105"/>
                <w:sz w:val="19"/>
              </w:rPr>
              <w:t>and Maintenance</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00" w:lineRule="exact" w:before="27"/>
              <w:ind w:left="393"/>
              <w:rPr>
                <w:b/>
                <w:sz w:val="18"/>
              </w:rPr>
            </w:pPr>
            <w:r>
              <w:rPr>
                <w:b/>
                <w:color w:val="363636"/>
                <w:w w:val="110"/>
                <w:sz w:val="18"/>
              </w:rPr>
              <w:t>1,481</w:t>
            </w:r>
          </w:p>
        </w:tc>
        <w:tc>
          <w:tcPr>
            <w:tcW w:w="58" w:type="dxa"/>
          </w:tcPr>
          <w:p>
            <w:pPr>
              <w:pStyle w:val="TableParagraph"/>
              <w:rPr>
                <w:rFonts w:ascii="Times New Roman"/>
                <w:sz w:val="18"/>
              </w:rPr>
            </w:pPr>
          </w:p>
        </w:tc>
        <w:tc>
          <w:tcPr>
            <w:tcW w:w="1144" w:type="dxa"/>
          </w:tcPr>
          <w:p>
            <w:pPr>
              <w:pStyle w:val="TableParagraph"/>
              <w:spacing w:line="227" w:lineRule="exact"/>
              <w:ind w:left="399"/>
              <w:rPr>
                <w:rFonts w:ascii="Times New Roman"/>
                <w:sz w:val="21"/>
              </w:rPr>
            </w:pPr>
            <w:r>
              <w:rPr>
                <w:rFonts w:ascii="Times New Roman"/>
                <w:color w:val="363636"/>
                <w:w w:val="110"/>
                <w:sz w:val="21"/>
              </w:rPr>
              <w:t>4,963</w:t>
            </w:r>
          </w:p>
        </w:tc>
      </w:tr>
      <w:tr>
        <w:trPr>
          <w:trHeight w:val="249" w:hRule="atLeast"/>
        </w:trPr>
        <w:tc>
          <w:tcPr>
            <w:tcW w:w="4783" w:type="dxa"/>
          </w:tcPr>
          <w:p>
            <w:pPr>
              <w:pStyle w:val="TableParagraph"/>
              <w:spacing w:line="210" w:lineRule="exact" w:before="20"/>
              <w:ind w:left="1111"/>
              <w:rPr>
                <w:sz w:val="19"/>
              </w:rPr>
            </w:pPr>
            <w:r>
              <w:rPr>
                <w:color w:val="262626"/>
                <w:w w:val="105"/>
                <w:sz w:val="19"/>
              </w:rPr>
              <w:t>Salary </w:t>
            </w:r>
            <w:r>
              <w:rPr>
                <w:color w:val="363636"/>
                <w:w w:val="105"/>
                <w:sz w:val="19"/>
              </w:rPr>
              <w:t>and </w:t>
            </w:r>
            <w:r>
              <w:rPr>
                <w:color w:val="262626"/>
                <w:w w:val="105"/>
                <w:sz w:val="19"/>
              </w:rPr>
              <w:t>wages costs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0" w:lineRule="exact"/>
              <w:ind w:left="178"/>
              <w:rPr>
                <w:rFonts w:ascii="Times New Roman"/>
                <w:sz w:val="21"/>
              </w:rPr>
            </w:pPr>
            <w:r>
              <w:rPr>
                <w:rFonts w:ascii="Times New Roman"/>
                <w:color w:val="363636"/>
                <w:w w:val="110"/>
                <w:sz w:val="21"/>
              </w:rPr>
              <w:t>464</w:t>
            </w:r>
            <w:r>
              <w:rPr>
                <w:rFonts w:ascii="Times New Roman"/>
                <w:color w:val="4F4F4F"/>
                <w:w w:val="110"/>
                <w:sz w:val="21"/>
              </w:rPr>
              <w:t>,</w:t>
            </w:r>
            <w:r>
              <w:rPr>
                <w:rFonts w:ascii="Times New Roman"/>
                <w:color w:val="262626"/>
                <w:w w:val="110"/>
                <w:sz w:val="21"/>
              </w:rPr>
              <w:t>710</w:t>
            </w:r>
          </w:p>
        </w:tc>
        <w:tc>
          <w:tcPr>
            <w:tcW w:w="58" w:type="dxa"/>
          </w:tcPr>
          <w:p>
            <w:pPr>
              <w:pStyle w:val="TableParagraph"/>
              <w:rPr>
                <w:rFonts w:ascii="Times New Roman"/>
                <w:sz w:val="18"/>
              </w:rPr>
            </w:pPr>
          </w:p>
        </w:tc>
        <w:tc>
          <w:tcPr>
            <w:tcW w:w="1144" w:type="dxa"/>
          </w:tcPr>
          <w:p>
            <w:pPr>
              <w:pStyle w:val="TableParagraph"/>
              <w:spacing w:line="230" w:lineRule="exact"/>
              <w:ind w:left="178"/>
              <w:rPr>
                <w:rFonts w:ascii="Times New Roman"/>
                <w:sz w:val="21"/>
              </w:rPr>
            </w:pPr>
            <w:r>
              <w:rPr>
                <w:rFonts w:ascii="Times New Roman"/>
                <w:color w:val="363636"/>
                <w:w w:val="105"/>
                <w:sz w:val="21"/>
              </w:rPr>
              <w:t>431,827</w:t>
            </w:r>
          </w:p>
        </w:tc>
      </w:tr>
      <w:tr>
        <w:trPr>
          <w:trHeight w:val="249" w:hRule="atLeast"/>
        </w:trPr>
        <w:tc>
          <w:tcPr>
            <w:tcW w:w="4783" w:type="dxa"/>
          </w:tcPr>
          <w:p>
            <w:pPr>
              <w:pStyle w:val="TableParagraph"/>
              <w:spacing w:line="210" w:lineRule="exact" w:before="20"/>
              <w:ind w:left="1111"/>
              <w:rPr>
                <w:sz w:val="19"/>
              </w:rPr>
            </w:pPr>
            <w:r>
              <w:rPr>
                <w:color w:val="262626"/>
                <w:w w:val="105"/>
                <w:sz w:val="19"/>
              </w:rPr>
              <w:t>Subscriptions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8" w:lineRule="exact" w:before="2"/>
              <w:ind w:left="403"/>
              <w:rPr>
                <w:rFonts w:ascii="Times New Roman"/>
                <w:sz w:val="21"/>
              </w:rPr>
            </w:pPr>
            <w:r>
              <w:rPr>
                <w:rFonts w:ascii="Times New Roman"/>
                <w:color w:val="262626"/>
                <w:w w:val="105"/>
                <w:sz w:val="21"/>
              </w:rPr>
              <w:t>2,892</w:t>
            </w:r>
          </w:p>
        </w:tc>
        <w:tc>
          <w:tcPr>
            <w:tcW w:w="58" w:type="dxa"/>
          </w:tcPr>
          <w:p>
            <w:pPr>
              <w:pStyle w:val="TableParagraph"/>
              <w:rPr>
                <w:rFonts w:ascii="Times New Roman"/>
                <w:sz w:val="18"/>
              </w:rPr>
            </w:pPr>
          </w:p>
        </w:tc>
        <w:tc>
          <w:tcPr>
            <w:tcW w:w="1144" w:type="dxa"/>
          </w:tcPr>
          <w:p>
            <w:pPr>
              <w:pStyle w:val="TableParagraph"/>
              <w:spacing w:line="228" w:lineRule="exact" w:before="2"/>
              <w:ind w:left="572"/>
              <w:rPr>
                <w:rFonts w:ascii="Times New Roman"/>
                <w:sz w:val="21"/>
              </w:rPr>
            </w:pPr>
            <w:r>
              <w:rPr>
                <w:rFonts w:ascii="Times New Roman"/>
                <w:color w:val="363636"/>
                <w:w w:val="105"/>
                <w:sz w:val="21"/>
              </w:rPr>
              <w:t>701</w:t>
            </w:r>
          </w:p>
        </w:tc>
      </w:tr>
      <w:tr>
        <w:trPr>
          <w:trHeight w:val="247" w:hRule="atLeast"/>
        </w:trPr>
        <w:tc>
          <w:tcPr>
            <w:tcW w:w="4783" w:type="dxa"/>
          </w:tcPr>
          <w:p>
            <w:pPr>
              <w:pStyle w:val="TableParagraph"/>
              <w:spacing w:line="207" w:lineRule="exact" w:before="20"/>
              <w:ind w:left="1111"/>
              <w:rPr>
                <w:sz w:val="19"/>
              </w:rPr>
            </w:pPr>
            <w:r>
              <w:rPr>
                <w:color w:val="363636"/>
                <w:w w:val="105"/>
                <w:sz w:val="19"/>
              </w:rPr>
              <w:t>Telephones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5" w:lineRule="exact" w:before="2"/>
              <w:ind w:left="395"/>
              <w:rPr>
                <w:rFonts w:ascii="Times New Roman"/>
                <w:sz w:val="21"/>
              </w:rPr>
            </w:pPr>
            <w:r>
              <w:rPr>
                <w:rFonts w:ascii="Times New Roman"/>
                <w:color w:val="262626"/>
                <w:w w:val="110"/>
                <w:sz w:val="21"/>
              </w:rPr>
              <w:t>8,342</w:t>
            </w:r>
          </w:p>
        </w:tc>
        <w:tc>
          <w:tcPr>
            <w:tcW w:w="58" w:type="dxa"/>
          </w:tcPr>
          <w:p>
            <w:pPr>
              <w:pStyle w:val="TableParagraph"/>
              <w:rPr>
                <w:rFonts w:ascii="Times New Roman"/>
                <w:sz w:val="18"/>
              </w:rPr>
            </w:pPr>
          </w:p>
        </w:tc>
        <w:tc>
          <w:tcPr>
            <w:tcW w:w="1144" w:type="dxa"/>
          </w:tcPr>
          <w:p>
            <w:pPr>
              <w:pStyle w:val="TableParagraph"/>
              <w:spacing w:line="227" w:lineRule="exact"/>
              <w:ind w:left="287"/>
              <w:rPr>
                <w:rFonts w:ascii="Times New Roman"/>
                <w:sz w:val="21"/>
              </w:rPr>
            </w:pPr>
            <w:r>
              <w:rPr>
                <w:rFonts w:ascii="Times New Roman"/>
                <w:color w:val="262626"/>
                <w:w w:val="105"/>
                <w:sz w:val="21"/>
              </w:rPr>
              <w:t>12</w:t>
            </w:r>
            <w:r>
              <w:rPr>
                <w:rFonts w:ascii="Times New Roman"/>
                <w:color w:val="4F4F4F"/>
                <w:w w:val="105"/>
                <w:sz w:val="21"/>
              </w:rPr>
              <w:t>,</w:t>
            </w:r>
            <w:r>
              <w:rPr>
                <w:rFonts w:ascii="Times New Roman"/>
                <w:color w:val="363636"/>
                <w:w w:val="105"/>
                <w:sz w:val="21"/>
              </w:rPr>
              <w:t>715</w:t>
            </w:r>
          </w:p>
        </w:tc>
      </w:tr>
      <w:tr>
        <w:trPr>
          <w:trHeight w:val="245" w:hRule="atLeast"/>
        </w:trPr>
        <w:tc>
          <w:tcPr>
            <w:tcW w:w="4783" w:type="dxa"/>
          </w:tcPr>
          <w:p>
            <w:pPr>
              <w:pStyle w:val="TableParagraph"/>
              <w:spacing w:line="212" w:lineRule="exact" w:before="13"/>
              <w:ind w:left="1111"/>
              <w:rPr>
                <w:sz w:val="19"/>
              </w:rPr>
            </w:pPr>
            <w:r>
              <w:rPr>
                <w:color w:val="262626"/>
                <w:w w:val="105"/>
                <w:sz w:val="19"/>
              </w:rPr>
              <w:t>Transport Costs</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5" w:lineRule="exact"/>
              <w:ind w:left="292"/>
              <w:rPr>
                <w:rFonts w:ascii="Times New Roman"/>
                <w:sz w:val="21"/>
              </w:rPr>
            </w:pPr>
            <w:r>
              <w:rPr>
                <w:rFonts w:ascii="Times New Roman"/>
                <w:color w:val="363636"/>
                <w:w w:val="105"/>
                <w:sz w:val="21"/>
              </w:rPr>
              <w:t>10,029</w:t>
            </w:r>
          </w:p>
        </w:tc>
        <w:tc>
          <w:tcPr>
            <w:tcW w:w="58" w:type="dxa"/>
          </w:tcPr>
          <w:p>
            <w:pPr>
              <w:pStyle w:val="TableParagraph"/>
              <w:rPr>
                <w:rFonts w:ascii="Times New Roman"/>
                <w:sz w:val="16"/>
              </w:rPr>
            </w:pPr>
          </w:p>
        </w:tc>
        <w:tc>
          <w:tcPr>
            <w:tcW w:w="1144" w:type="dxa"/>
          </w:tcPr>
          <w:p>
            <w:pPr>
              <w:pStyle w:val="TableParagraph"/>
              <w:spacing w:line="225" w:lineRule="exact"/>
              <w:ind w:left="408"/>
              <w:rPr>
                <w:rFonts w:ascii="Times New Roman"/>
                <w:sz w:val="21"/>
              </w:rPr>
            </w:pPr>
            <w:r>
              <w:rPr>
                <w:rFonts w:ascii="Times New Roman"/>
                <w:color w:val="262626"/>
                <w:w w:val="105"/>
                <w:sz w:val="21"/>
              </w:rPr>
              <w:t>9,617</w:t>
            </w:r>
          </w:p>
        </w:tc>
      </w:tr>
      <w:tr>
        <w:trPr>
          <w:trHeight w:val="240" w:hRule="atLeast"/>
        </w:trPr>
        <w:tc>
          <w:tcPr>
            <w:tcW w:w="4783" w:type="dxa"/>
          </w:tcPr>
          <w:p>
            <w:pPr>
              <w:pStyle w:val="TableParagraph"/>
              <w:spacing w:line="203" w:lineRule="exact" w:before="17"/>
              <w:ind w:left="1113"/>
              <w:rPr>
                <w:sz w:val="19"/>
              </w:rPr>
            </w:pPr>
            <w:r>
              <w:rPr>
                <w:color w:val="262626"/>
                <w:w w:val="105"/>
                <w:sz w:val="19"/>
              </w:rPr>
              <w:t>Workshops/consultants</w:t>
            </w:r>
          </w:p>
        </w:tc>
        <w:tc>
          <w:tcPr>
            <w:tcW w:w="1298" w:type="dxa"/>
          </w:tcPr>
          <w:p>
            <w:pPr>
              <w:pStyle w:val="TableParagraph"/>
              <w:rPr>
                <w:rFonts w:ascii="Times New Roman"/>
                <w:sz w:val="16"/>
              </w:rPr>
            </w:pPr>
          </w:p>
        </w:tc>
        <w:tc>
          <w:tcPr>
            <w:tcW w:w="58" w:type="dxa"/>
          </w:tcPr>
          <w:p>
            <w:pPr>
              <w:pStyle w:val="TableParagraph"/>
              <w:rPr>
                <w:rFonts w:ascii="Times New Roman"/>
                <w:sz w:val="16"/>
              </w:rPr>
            </w:pPr>
          </w:p>
        </w:tc>
        <w:tc>
          <w:tcPr>
            <w:tcW w:w="1961" w:type="dxa"/>
          </w:tcPr>
          <w:p>
            <w:pPr>
              <w:pStyle w:val="TableParagraph"/>
              <w:spacing w:line="220" w:lineRule="exact"/>
              <w:ind w:left="404"/>
              <w:rPr>
                <w:rFonts w:ascii="Times New Roman"/>
                <w:sz w:val="21"/>
              </w:rPr>
            </w:pPr>
            <w:r>
              <w:rPr>
                <w:rFonts w:ascii="Times New Roman"/>
                <w:color w:val="363636"/>
                <w:sz w:val="21"/>
              </w:rPr>
              <w:t>4,341</w:t>
            </w:r>
          </w:p>
        </w:tc>
        <w:tc>
          <w:tcPr>
            <w:tcW w:w="58" w:type="dxa"/>
          </w:tcPr>
          <w:p>
            <w:pPr>
              <w:pStyle w:val="TableParagraph"/>
              <w:rPr>
                <w:rFonts w:ascii="Times New Roman"/>
                <w:sz w:val="16"/>
              </w:rPr>
            </w:pPr>
          </w:p>
        </w:tc>
        <w:tc>
          <w:tcPr>
            <w:tcW w:w="1144" w:type="dxa"/>
          </w:tcPr>
          <w:p>
            <w:pPr>
              <w:pStyle w:val="TableParagraph"/>
              <w:spacing w:line="220" w:lineRule="exact"/>
              <w:ind w:left="341"/>
              <w:rPr>
                <w:rFonts w:ascii="Times New Roman"/>
                <w:sz w:val="21"/>
              </w:rPr>
            </w:pPr>
            <w:r>
              <w:rPr>
                <w:rFonts w:ascii="Times New Roman"/>
                <w:color w:val="262626"/>
                <w:sz w:val="21"/>
              </w:rPr>
              <w:t>(7,102)</w:t>
            </w:r>
          </w:p>
        </w:tc>
      </w:tr>
      <w:tr>
        <w:trPr>
          <w:trHeight w:val="247" w:hRule="atLeast"/>
        </w:trPr>
        <w:tc>
          <w:tcPr>
            <w:tcW w:w="4783" w:type="dxa"/>
          </w:tcPr>
          <w:p>
            <w:pPr>
              <w:pStyle w:val="TableParagraph"/>
              <w:spacing w:line="205" w:lineRule="exact" w:before="22"/>
              <w:ind w:left="1110"/>
              <w:rPr>
                <w:sz w:val="19"/>
              </w:rPr>
            </w:pPr>
            <w:r>
              <w:rPr>
                <w:color w:val="262626"/>
                <w:w w:val="105"/>
                <w:sz w:val="19"/>
              </w:rPr>
              <w:t>Utilities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23" w:lineRule="exact" w:before="4"/>
              <w:ind w:left="571"/>
              <w:rPr>
                <w:rFonts w:ascii="Times New Roman"/>
                <w:sz w:val="21"/>
              </w:rPr>
            </w:pPr>
            <w:r>
              <w:rPr>
                <w:rFonts w:ascii="Times New Roman"/>
                <w:color w:val="262626"/>
                <w:w w:val="105"/>
                <w:sz w:val="21"/>
              </w:rPr>
              <w:t>285</w:t>
            </w:r>
          </w:p>
        </w:tc>
        <w:tc>
          <w:tcPr>
            <w:tcW w:w="58" w:type="dxa"/>
          </w:tcPr>
          <w:p>
            <w:pPr>
              <w:pStyle w:val="TableParagraph"/>
              <w:rPr>
                <w:rFonts w:ascii="Times New Roman"/>
                <w:sz w:val="18"/>
              </w:rPr>
            </w:pPr>
          </w:p>
        </w:tc>
        <w:tc>
          <w:tcPr>
            <w:tcW w:w="1144" w:type="dxa"/>
          </w:tcPr>
          <w:p>
            <w:pPr>
              <w:pStyle w:val="TableParagraph"/>
              <w:spacing w:line="227" w:lineRule="exact"/>
              <w:ind w:left="402"/>
              <w:rPr>
                <w:rFonts w:ascii="Times New Roman"/>
                <w:sz w:val="21"/>
              </w:rPr>
            </w:pPr>
            <w:r>
              <w:rPr>
                <w:rFonts w:ascii="Times New Roman"/>
                <w:color w:val="262626"/>
                <w:w w:val="105"/>
                <w:sz w:val="21"/>
              </w:rPr>
              <w:t>1,631</w:t>
            </w:r>
          </w:p>
        </w:tc>
      </w:tr>
      <w:tr>
        <w:trPr>
          <w:trHeight w:val="471" w:hRule="atLeast"/>
        </w:trPr>
        <w:tc>
          <w:tcPr>
            <w:tcW w:w="4783" w:type="dxa"/>
          </w:tcPr>
          <w:p>
            <w:pPr>
              <w:pStyle w:val="TableParagraph"/>
              <w:spacing w:before="15"/>
              <w:ind w:left="1116"/>
              <w:rPr>
                <w:sz w:val="19"/>
              </w:rPr>
            </w:pPr>
            <w:r>
              <w:rPr>
                <w:color w:val="262626"/>
                <w:w w:val="105"/>
                <w:sz w:val="19"/>
              </w:rPr>
              <w:t>Other Expenses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Borders>
              <w:bottom w:val="single" w:sz="12" w:space="0" w:color="000000"/>
            </w:tcBorders>
          </w:tcPr>
          <w:p>
            <w:pPr>
              <w:pStyle w:val="TableParagraph"/>
              <w:spacing w:line="234" w:lineRule="exact"/>
              <w:ind w:left="292"/>
              <w:rPr>
                <w:rFonts w:ascii="Times New Roman"/>
                <w:sz w:val="21"/>
              </w:rPr>
            </w:pPr>
            <w:r>
              <w:rPr>
                <w:rFonts w:ascii="Times New Roman"/>
                <w:color w:val="262626"/>
                <w:w w:val="105"/>
                <w:sz w:val="21"/>
              </w:rPr>
              <w:t>19,593</w:t>
            </w:r>
          </w:p>
        </w:tc>
        <w:tc>
          <w:tcPr>
            <w:tcW w:w="58" w:type="dxa"/>
          </w:tcPr>
          <w:p>
            <w:pPr>
              <w:pStyle w:val="TableParagraph"/>
              <w:rPr>
                <w:rFonts w:ascii="Times New Roman"/>
                <w:sz w:val="18"/>
              </w:rPr>
            </w:pPr>
          </w:p>
        </w:tc>
        <w:tc>
          <w:tcPr>
            <w:tcW w:w="1144" w:type="dxa"/>
            <w:tcBorders>
              <w:bottom w:val="single" w:sz="8" w:space="0" w:color="000000"/>
            </w:tcBorders>
          </w:tcPr>
          <w:p>
            <w:pPr>
              <w:pStyle w:val="TableParagraph"/>
              <w:spacing w:before="10"/>
              <w:ind w:left="295"/>
              <w:rPr>
                <w:sz w:val="19"/>
              </w:rPr>
            </w:pPr>
            <w:r>
              <w:rPr>
                <w:color w:val="262626"/>
                <w:w w:val="105"/>
                <w:sz w:val="19"/>
              </w:rPr>
              <w:t>19,996</w:t>
            </w:r>
          </w:p>
        </w:tc>
      </w:tr>
      <w:tr>
        <w:trPr>
          <w:trHeight w:val="365" w:hRule="atLeast"/>
        </w:trPr>
        <w:tc>
          <w:tcPr>
            <w:tcW w:w="4783" w:type="dxa"/>
          </w:tcPr>
          <w:p>
            <w:pPr>
              <w:pStyle w:val="TableParagraph"/>
              <w:spacing w:before="18"/>
              <w:ind w:left="107"/>
              <w:rPr>
                <w:b/>
                <w:sz w:val="18"/>
              </w:rPr>
            </w:pPr>
            <w:r>
              <w:rPr>
                <w:b/>
                <w:color w:val="363636"/>
                <w:w w:val="110"/>
                <w:sz w:val="18"/>
              </w:rPr>
              <w:t>Total </w:t>
            </w:r>
            <w:r>
              <w:rPr>
                <w:b/>
                <w:color w:val="262626"/>
                <w:w w:val="110"/>
                <w:sz w:val="19"/>
              </w:rPr>
              <w:t>Expenses </w:t>
            </w:r>
            <w:r>
              <w:rPr>
                <w:b/>
                <w:color w:val="262626"/>
                <w:w w:val="110"/>
                <w:sz w:val="18"/>
              </w:rPr>
              <w:t>from Ordinary Activities</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Borders>
              <w:top w:val="single" w:sz="12" w:space="0" w:color="000000"/>
            </w:tcBorders>
          </w:tcPr>
          <w:p>
            <w:pPr>
              <w:pStyle w:val="TableParagraph"/>
              <w:spacing w:line="232" w:lineRule="exact"/>
              <w:ind w:left="244"/>
              <w:rPr>
                <w:rFonts w:ascii="Times New Roman"/>
                <w:sz w:val="21"/>
              </w:rPr>
            </w:pPr>
            <w:r>
              <w:rPr>
                <w:rFonts w:ascii="Times New Roman"/>
                <w:color w:val="363636"/>
                <w:w w:val="105"/>
                <w:sz w:val="21"/>
                <w:u w:val="thick" w:color="363636"/>
              </w:rPr>
              <w:t>597,682</w:t>
            </w:r>
          </w:p>
        </w:tc>
        <w:tc>
          <w:tcPr>
            <w:tcW w:w="58" w:type="dxa"/>
          </w:tcPr>
          <w:p>
            <w:pPr>
              <w:pStyle w:val="TableParagraph"/>
              <w:rPr>
                <w:rFonts w:ascii="Times New Roman"/>
                <w:sz w:val="18"/>
              </w:rPr>
            </w:pPr>
          </w:p>
        </w:tc>
        <w:tc>
          <w:tcPr>
            <w:tcW w:w="1144" w:type="dxa"/>
            <w:tcBorders>
              <w:top w:val="single" w:sz="8" w:space="0" w:color="000000"/>
            </w:tcBorders>
          </w:tcPr>
          <w:p>
            <w:pPr>
              <w:pStyle w:val="TableParagraph"/>
              <w:spacing w:before="4"/>
              <w:ind w:left="261"/>
              <w:rPr>
                <w:sz w:val="19"/>
              </w:rPr>
            </w:pPr>
            <w:r>
              <w:rPr>
                <w:color w:val="262626"/>
                <w:w w:val="105"/>
                <w:sz w:val="19"/>
                <w:u w:val="thick" w:color="262626"/>
              </w:rPr>
              <w:t>636,015</w:t>
            </w:r>
          </w:p>
        </w:tc>
      </w:tr>
      <w:tr>
        <w:trPr>
          <w:trHeight w:val="514" w:hRule="atLeast"/>
        </w:trPr>
        <w:tc>
          <w:tcPr>
            <w:tcW w:w="4783" w:type="dxa"/>
          </w:tcPr>
          <w:p>
            <w:pPr>
              <w:pStyle w:val="TableParagraph"/>
              <w:spacing w:before="171"/>
              <w:ind w:left="108"/>
              <w:rPr>
                <w:b/>
                <w:sz w:val="18"/>
              </w:rPr>
            </w:pPr>
            <w:r>
              <w:rPr>
                <w:b/>
                <w:color w:val="262626"/>
                <w:w w:val="110"/>
                <w:sz w:val="18"/>
              </w:rPr>
              <w:t>Operating </w:t>
            </w:r>
            <w:r>
              <w:rPr>
                <w:b/>
                <w:color w:val="363636"/>
                <w:w w:val="110"/>
                <w:sz w:val="18"/>
              </w:rPr>
              <w:t>surplus/(</w:t>
            </w:r>
            <w:r>
              <w:rPr>
                <w:b/>
                <w:color w:val="262626"/>
                <w:w w:val="110"/>
                <w:sz w:val="18"/>
              </w:rPr>
              <w:t>deficit)</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before="125"/>
              <w:ind w:left="306"/>
              <w:rPr>
                <w:rFonts w:ascii="Times New Roman"/>
                <w:sz w:val="21"/>
              </w:rPr>
            </w:pPr>
            <w:r>
              <w:rPr>
                <w:rFonts w:ascii="Times New Roman"/>
                <w:color w:val="262626"/>
                <w:w w:val="105"/>
                <w:sz w:val="21"/>
              </w:rPr>
              <w:t>57,222</w:t>
            </w:r>
          </w:p>
        </w:tc>
        <w:tc>
          <w:tcPr>
            <w:tcW w:w="58" w:type="dxa"/>
          </w:tcPr>
          <w:p>
            <w:pPr>
              <w:pStyle w:val="TableParagraph"/>
              <w:rPr>
                <w:rFonts w:ascii="Times New Roman"/>
                <w:sz w:val="18"/>
              </w:rPr>
            </w:pPr>
          </w:p>
        </w:tc>
        <w:tc>
          <w:tcPr>
            <w:tcW w:w="1144" w:type="dxa"/>
          </w:tcPr>
          <w:p>
            <w:pPr>
              <w:pStyle w:val="TableParagraph"/>
              <w:spacing w:before="120"/>
              <w:ind w:left="307"/>
              <w:rPr>
                <w:rFonts w:ascii="Times New Roman"/>
                <w:sz w:val="21"/>
              </w:rPr>
            </w:pPr>
            <w:r>
              <w:rPr>
                <w:rFonts w:ascii="Times New Roman"/>
                <w:color w:val="262626"/>
                <w:w w:val="110"/>
                <w:sz w:val="21"/>
              </w:rPr>
              <w:t>37,693</w:t>
            </w:r>
          </w:p>
        </w:tc>
      </w:tr>
      <w:tr>
        <w:trPr>
          <w:trHeight w:val="505" w:hRule="atLeast"/>
        </w:trPr>
        <w:tc>
          <w:tcPr>
            <w:tcW w:w="4783" w:type="dxa"/>
          </w:tcPr>
          <w:p>
            <w:pPr>
              <w:pStyle w:val="TableParagraph"/>
              <w:spacing w:before="157"/>
              <w:ind w:left="112"/>
              <w:rPr>
                <w:b/>
                <w:sz w:val="18"/>
              </w:rPr>
            </w:pPr>
            <w:r>
              <w:rPr>
                <w:b/>
                <w:color w:val="262626"/>
                <w:w w:val="110"/>
                <w:sz w:val="18"/>
              </w:rPr>
              <w:t>Non-Operating Revenue</w:t>
            </w:r>
          </w:p>
        </w:tc>
        <w:tc>
          <w:tcPr>
            <w:tcW w:w="1298" w:type="dxa"/>
          </w:tcPr>
          <w:p>
            <w:pPr>
              <w:pStyle w:val="TableParagraph"/>
              <w:spacing w:before="129"/>
              <w:ind w:left="797"/>
              <w:rPr>
                <w:sz w:val="22"/>
              </w:rPr>
            </w:pPr>
            <w:r>
              <w:rPr>
                <w:color w:val="363636"/>
                <w:w w:val="108"/>
                <w:sz w:val="22"/>
              </w:rPr>
              <w:t>7</w:t>
            </w:r>
          </w:p>
        </w:tc>
        <w:tc>
          <w:tcPr>
            <w:tcW w:w="58" w:type="dxa"/>
          </w:tcPr>
          <w:p>
            <w:pPr>
              <w:pStyle w:val="TableParagraph"/>
              <w:rPr>
                <w:rFonts w:ascii="Times New Roman"/>
                <w:sz w:val="18"/>
              </w:rPr>
            </w:pPr>
          </w:p>
        </w:tc>
        <w:tc>
          <w:tcPr>
            <w:tcW w:w="1961" w:type="dxa"/>
          </w:tcPr>
          <w:p>
            <w:pPr>
              <w:pStyle w:val="TableParagraph"/>
              <w:tabs>
                <w:tab w:pos="1074" w:val="left" w:leader="none"/>
              </w:tabs>
              <w:spacing w:before="129"/>
              <w:ind w:left="18"/>
              <w:rPr>
                <w:sz w:val="22"/>
              </w:rPr>
            </w:pPr>
            <w:r>
              <w:rPr>
                <w:color w:val="363636"/>
                <w:w w:val="100"/>
                <w:sz w:val="22"/>
                <w:u w:val="single" w:color="000000"/>
              </w:rPr>
              <w:t> </w:t>
            </w:r>
            <w:r>
              <w:rPr>
                <w:color w:val="363636"/>
                <w:sz w:val="22"/>
                <w:u w:val="single" w:color="000000"/>
              </w:rPr>
              <w:tab/>
            </w:r>
          </w:p>
        </w:tc>
        <w:tc>
          <w:tcPr>
            <w:tcW w:w="58" w:type="dxa"/>
          </w:tcPr>
          <w:p>
            <w:pPr>
              <w:pStyle w:val="TableParagraph"/>
              <w:rPr>
                <w:rFonts w:ascii="Times New Roman"/>
                <w:sz w:val="18"/>
              </w:rPr>
            </w:pPr>
          </w:p>
        </w:tc>
        <w:tc>
          <w:tcPr>
            <w:tcW w:w="1144" w:type="dxa"/>
          </w:tcPr>
          <w:p>
            <w:pPr>
              <w:pStyle w:val="TableParagraph"/>
              <w:tabs>
                <w:tab w:pos="1093" w:val="left" w:leader="none"/>
              </w:tabs>
              <w:spacing w:before="129"/>
              <w:ind w:left="-1"/>
              <w:rPr>
                <w:sz w:val="22"/>
              </w:rPr>
            </w:pPr>
            <w:r>
              <w:rPr>
                <w:color w:val="363636"/>
                <w:w w:val="100"/>
                <w:sz w:val="22"/>
                <w:u w:val="thick" w:color="000000"/>
              </w:rPr>
              <w:t> </w:t>
            </w:r>
            <w:r>
              <w:rPr>
                <w:color w:val="363636"/>
                <w:sz w:val="22"/>
                <w:u w:val="thick" w:color="000000"/>
              </w:rPr>
              <w:tab/>
            </w:r>
          </w:p>
        </w:tc>
      </w:tr>
      <w:tr>
        <w:trPr>
          <w:trHeight w:val="374" w:hRule="atLeast"/>
        </w:trPr>
        <w:tc>
          <w:tcPr>
            <w:tcW w:w="4783" w:type="dxa"/>
          </w:tcPr>
          <w:p>
            <w:pPr>
              <w:pStyle w:val="TableParagraph"/>
              <w:spacing w:line="199" w:lineRule="exact" w:before="156"/>
              <w:ind w:left="111"/>
              <w:rPr>
                <w:b/>
                <w:sz w:val="19"/>
              </w:rPr>
            </w:pPr>
            <w:r>
              <w:rPr>
                <w:b/>
                <w:color w:val="363636"/>
                <w:w w:val="105"/>
                <w:sz w:val="19"/>
              </w:rPr>
              <w:t>Total surplus/(deficit)</w:t>
            </w:r>
          </w:p>
        </w:tc>
        <w:tc>
          <w:tcPr>
            <w:tcW w:w="1298" w:type="dxa"/>
          </w:tcPr>
          <w:p>
            <w:pPr>
              <w:pStyle w:val="TableParagraph"/>
              <w:rPr>
                <w:rFonts w:ascii="Times New Roman"/>
                <w:sz w:val="18"/>
              </w:rPr>
            </w:pPr>
          </w:p>
        </w:tc>
        <w:tc>
          <w:tcPr>
            <w:tcW w:w="58" w:type="dxa"/>
          </w:tcPr>
          <w:p>
            <w:pPr>
              <w:pStyle w:val="TableParagraph"/>
              <w:rPr>
                <w:rFonts w:ascii="Times New Roman"/>
                <w:sz w:val="18"/>
              </w:rPr>
            </w:pPr>
          </w:p>
        </w:tc>
        <w:tc>
          <w:tcPr>
            <w:tcW w:w="1961" w:type="dxa"/>
          </w:tcPr>
          <w:p>
            <w:pPr>
              <w:pStyle w:val="TableParagraph"/>
              <w:spacing w:line="236" w:lineRule="exact" w:before="119"/>
              <w:ind w:left="311"/>
              <w:rPr>
                <w:rFonts w:ascii="Times New Roman"/>
                <w:sz w:val="21"/>
              </w:rPr>
            </w:pPr>
            <w:r>
              <w:rPr>
                <w:rFonts w:ascii="Times New Roman"/>
                <w:color w:val="363636"/>
                <w:w w:val="105"/>
                <w:sz w:val="21"/>
                <w:u w:val="thick" w:color="262626"/>
              </w:rPr>
              <w:t>57</w:t>
            </w:r>
            <w:r>
              <w:rPr>
                <w:rFonts w:ascii="Times New Roman"/>
                <w:color w:val="4F4F4F"/>
                <w:w w:val="105"/>
                <w:sz w:val="21"/>
                <w:u w:val="thick" w:color="262626"/>
              </w:rPr>
              <w:t>,</w:t>
            </w:r>
            <w:r>
              <w:rPr>
                <w:rFonts w:ascii="Times New Roman"/>
                <w:color w:val="262626"/>
                <w:w w:val="105"/>
                <w:sz w:val="21"/>
                <w:u w:val="thick" w:color="262626"/>
              </w:rPr>
              <w:t>222</w:t>
            </w:r>
          </w:p>
        </w:tc>
        <w:tc>
          <w:tcPr>
            <w:tcW w:w="58" w:type="dxa"/>
          </w:tcPr>
          <w:p>
            <w:pPr>
              <w:pStyle w:val="TableParagraph"/>
              <w:rPr>
                <w:rFonts w:ascii="Times New Roman"/>
                <w:sz w:val="18"/>
              </w:rPr>
            </w:pPr>
          </w:p>
        </w:tc>
        <w:tc>
          <w:tcPr>
            <w:tcW w:w="1144" w:type="dxa"/>
          </w:tcPr>
          <w:p>
            <w:pPr>
              <w:pStyle w:val="TableParagraph"/>
              <w:spacing w:line="240" w:lineRule="exact" w:before="114"/>
              <w:ind w:left="312"/>
              <w:rPr>
                <w:rFonts w:ascii="Times New Roman"/>
                <w:sz w:val="21"/>
              </w:rPr>
            </w:pPr>
            <w:r>
              <w:rPr>
                <w:rFonts w:ascii="Times New Roman"/>
                <w:color w:val="363636"/>
                <w:w w:val="110"/>
                <w:sz w:val="21"/>
                <w:u w:val="thick" w:color="262626"/>
              </w:rPr>
              <w:t>37</w:t>
            </w:r>
            <w:r>
              <w:rPr>
                <w:rFonts w:ascii="Times New Roman"/>
                <w:color w:val="4F4F4F"/>
                <w:w w:val="110"/>
                <w:sz w:val="21"/>
                <w:u w:val="thick" w:color="262626"/>
              </w:rPr>
              <w:t>,</w:t>
            </w:r>
            <w:r>
              <w:rPr>
                <w:rFonts w:ascii="Times New Roman"/>
                <w:color w:val="262626"/>
                <w:w w:val="110"/>
                <w:sz w:val="21"/>
                <w:u w:val="thick" w:color="262626"/>
              </w:rPr>
              <w:t>693</w:t>
            </w:r>
          </w:p>
        </w:tc>
      </w:tr>
    </w:tbl>
    <w:p>
      <w:pPr>
        <w:spacing w:after="0" w:line="240" w:lineRule="exact"/>
        <w:rPr>
          <w:rFonts w:ascii="Times New Roman"/>
          <w:sz w:val="21"/>
        </w:rPr>
        <w:sectPr>
          <w:pgSz w:w="11910" w:h="16840"/>
          <w:pgMar w:header="0" w:footer="1209" w:top="1580" w:bottom="1400" w:left="480" w:right="380"/>
        </w:sectPr>
      </w:pPr>
    </w:p>
    <w:p>
      <w:pPr>
        <w:pStyle w:val="BodyText"/>
        <w:rPr>
          <w:b/>
          <w:sz w:val="20"/>
        </w:rPr>
      </w:pPr>
      <w:r>
        <w:rPr/>
        <w:pict>
          <v:line style="position:absolute;mso-position-horizontal-relative:page;mso-position-vertical-relative:page;z-index:1672" from="368.171204pt,443.288849pt" to="418.157896pt,443.288849pt" stroked="true" strokeweight="1.92212pt" strokecolor="#000000">
            <v:stroke dashstyle="solid"/>
            <w10:wrap type="none"/>
          </v:line>
        </w:pict>
      </w:r>
      <w:r>
        <w:rPr/>
        <w:pict>
          <v:line style="position:absolute;mso-position-horizontal-relative:page;mso-position-vertical-relative:page;z-index:1696" from="475.834869pt,442.808319pt" to="537.356952pt,442.808319pt" stroked="true" strokeweight="1.92212pt" strokecolor="#000000">
            <v:stroke dashstyle="solid"/>
            <w10:wrap type="none"/>
          </v:line>
        </w:pict>
      </w:r>
    </w:p>
    <w:p>
      <w:pPr>
        <w:pStyle w:val="BodyText"/>
        <w:rPr>
          <w:b/>
          <w:sz w:val="20"/>
        </w:rPr>
      </w:pPr>
    </w:p>
    <w:p>
      <w:pPr>
        <w:pStyle w:val="BodyText"/>
        <w:rPr>
          <w:b/>
          <w:sz w:val="20"/>
        </w:rPr>
      </w:pPr>
    </w:p>
    <w:p>
      <w:pPr>
        <w:pStyle w:val="BodyText"/>
        <w:rPr>
          <w:b/>
          <w:sz w:val="17"/>
        </w:rPr>
      </w:pPr>
    </w:p>
    <w:p>
      <w:pPr>
        <w:spacing w:before="95"/>
        <w:ind w:left="9540" w:right="0" w:firstLine="0"/>
        <w:jc w:val="left"/>
        <w:rPr>
          <w:sz w:val="17"/>
        </w:rPr>
      </w:pPr>
      <w:r>
        <w:rPr/>
        <w:pict>
          <v:shape style="position:absolute;margin-left:85.141937pt;margin-top:-18.258759pt;width:411.8pt;height:149.9pt;mso-position-horizontal-relative:page;mso-position-vertical-relative:paragraph;z-index:17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7"/>
                    <w:gridCol w:w="1602"/>
                    <w:gridCol w:w="2266"/>
                  </w:tblGrid>
                  <w:tr>
                    <w:trPr>
                      <w:trHeight w:val="211" w:hRule="atLeast"/>
                    </w:trPr>
                    <w:tc>
                      <w:tcPr>
                        <w:tcW w:w="4367" w:type="dxa"/>
                      </w:tcPr>
                      <w:p>
                        <w:pPr>
                          <w:pStyle w:val="TableParagraph"/>
                          <w:spacing w:line="191" w:lineRule="exact"/>
                          <w:ind w:left="50"/>
                          <w:rPr>
                            <w:b/>
                            <w:sz w:val="18"/>
                          </w:rPr>
                        </w:pPr>
                        <w:r>
                          <w:rPr>
                            <w:b/>
                            <w:color w:val="212121"/>
                            <w:sz w:val="18"/>
                          </w:rPr>
                          <w:t>STATEMENT OF CASH FLOWS</w:t>
                        </w:r>
                      </w:p>
                    </w:tc>
                    <w:tc>
                      <w:tcPr>
                        <w:tcW w:w="3868" w:type="dxa"/>
                        <w:gridSpan w:val="2"/>
                      </w:tcPr>
                      <w:p>
                        <w:pPr>
                          <w:pStyle w:val="TableParagraph"/>
                          <w:rPr>
                            <w:rFonts w:ascii="Times New Roman"/>
                            <w:sz w:val="14"/>
                          </w:rPr>
                        </w:pPr>
                      </w:p>
                    </w:tc>
                  </w:tr>
                  <w:tr>
                    <w:trPr>
                      <w:trHeight w:val="224" w:hRule="atLeast"/>
                    </w:trPr>
                    <w:tc>
                      <w:tcPr>
                        <w:tcW w:w="4367" w:type="dxa"/>
                      </w:tcPr>
                      <w:p>
                        <w:pPr>
                          <w:pStyle w:val="TableParagraph"/>
                          <w:rPr>
                            <w:rFonts w:ascii="Times New Roman"/>
                            <w:sz w:val="16"/>
                          </w:rPr>
                        </w:pPr>
                      </w:p>
                    </w:tc>
                    <w:tc>
                      <w:tcPr>
                        <w:tcW w:w="1602" w:type="dxa"/>
                      </w:tcPr>
                      <w:p>
                        <w:pPr>
                          <w:pStyle w:val="TableParagraph"/>
                          <w:spacing w:line="195" w:lineRule="exact" w:before="9"/>
                          <w:ind w:left="889"/>
                          <w:rPr>
                            <w:sz w:val="18"/>
                          </w:rPr>
                        </w:pPr>
                        <w:r>
                          <w:rPr>
                            <w:color w:val="212121"/>
                            <w:w w:val="105"/>
                            <w:sz w:val="18"/>
                            <w:u w:val="thick" w:color="212121"/>
                          </w:rPr>
                          <w:t>2011</w:t>
                        </w:r>
                      </w:p>
                    </w:tc>
                    <w:tc>
                      <w:tcPr>
                        <w:tcW w:w="2266" w:type="dxa"/>
                      </w:tcPr>
                      <w:p>
                        <w:pPr>
                          <w:pStyle w:val="TableParagraph"/>
                          <w:spacing w:line="200" w:lineRule="exact" w:before="4"/>
                          <w:ind w:right="254"/>
                          <w:jc w:val="right"/>
                          <w:rPr>
                            <w:sz w:val="18"/>
                          </w:rPr>
                        </w:pPr>
                        <w:r>
                          <w:rPr>
                            <w:color w:val="212121"/>
                            <w:sz w:val="18"/>
                            <w:u w:val="thick" w:color="212121"/>
                          </w:rPr>
                          <w:t>2010</w:t>
                        </w:r>
                      </w:p>
                    </w:tc>
                  </w:tr>
                  <w:tr>
                    <w:trPr>
                      <w:trHeight w:val="465" w:hRule="atLeast"/>
                    </w:trPr>
                    <w:tc>
                      <w:tcPr>
                        <w:tcW w:w="4367" w:type="dxa"/>
                      </w:tcPr>
                      <w:p>
                        <w:pPr>
                          <w:pStyle w:val="TableParagraph"/>
                          <w:rPr>
                            <w:rFonts w:ascii="Times New Roman"/>
                            <w:sz w:val="18"/>
                          </w:rPr>
                        </w:pPr>
                      </w:p>
                    </w:tc>
                    <w:tc>
                      <w:tcPr>
                        <w:tcW w:w="1602" w:type="dxa"/>
                      </w:tcPr>
                      <w:p>
                        <w:pPr>
                          <w:pStyle w:val="TableParagraph"/>
                          <w:spacing w:line="254" w:lineRule="exact" w:before="3"/>
                          <w:ind w:right="432"/>
                          <w:jc w:val="center"/>
                          <w:rPr>
                            <w:rFonts w:ascii="Times New Roman"/>
                            <w:sz w:val="23"/>
                          </w:rPr>
                        </w:pPr>
                        <w:r>
                          <w:rPr>
                            <w:rFonts w:ascii="Times New Roman"/>
                            <w:color w:val="313131"/>
                            <w:w w:val="101"/>
                            <w:sz w:val="23"/>
                          </w:rPr>
                          <w:t>i</w:t>
                        </w:r>
                      </w:p>
                      <w:p>
                        <w:pPr>
                          <w:pStyle w:val="TableParagraph"/>
                          <w:spacing w:line="189" w:lineRule="exact"/>
                          <w:ind w:left="810"/>
                          <w:rPr>
                            <w:sz w:val="18"/>
                          </w:rPr>
                        </w:pPr>
                        <w:r>
                          <w:rPr>
                            <w:color w:val="313131"/>
                            <w:sz w:val="18"/>
                          </w:rPr>
                          <w:t>Inflows</w:t>
                        </w:r>
                      </w:p>
                    </w:tc>
                    <w:tc>
                      <w:tcPr>
                        <w:tcW w:w="2266" w:type="dxa"/>
                      </w:tcPr>
                      <w:p>
                        <w:pPr>
                          <w:pStyle w:val="TableParagraph"/>
                          <w:tabs>
                            <w:tab w:pos="1160" w:val="left" w:leader="none"/>
                          </w:tabs>
                          <w:spacing w:line="250" w:lineRule="exact"/>
                          <w:ind w:left="94"/>
                          <w:rPr>
                            <w:rFonts w:ascii="Times New Roman"/>
                            <w:sz w:val="23"/>
                          </w:rPr>
                        </w:pPr>
                        <w:r>
                          <w:rPr>
                            <w:color w:val="313131"/>
                            <w:position w:val="3"/>
                            <w:sz w:val="17"/>
                          </w:rPr>
                          <w:t>$</w:t>
                        </w:r>
                        <w:r>
                          <w:rPr>
                            <w:color w:val="313131"/>
                            <w:sz w:val="17"/>
                          </w:rPr>
                          <w:tab/>
                        </w:r>
                        <w:r>
                          <w:rPr>
                            <w:rFonts w:ascii="Times New Roman"/>
                            <w:color w:val="313131"/>
                            <w:sz w:val="23"/>
                          </w:rPr>
                          <w:t>i</w:t>
                        </w:r>
                      </w:p>
                      <w:p>
                        <w:pPr>
                          <w:pStyle w:val="TableParagraph"/>
                          <w:spacing w:line="193" w:lineRule="exact"/>
                          <w:ind w:right="173"/>
                          <w:jc w:val="right"/>
                          <w:rPr>
                            <w:sz w:val="18"/>
                          </w:rPr>
                        </w:pPr>
                        <w:r>
                          <w:rPr>
                            <w:color w:val="212121"/>
                            <w:sz w:val="18"/>
                          </w:rPr>
                          <w:t>Inflows</w:t>
                        </w:r>
                      </w:p>
                    </w:tc>
                  </w:tr>
                  <w:tr>
                    <w:trPr>
                      <w:trHeight w:val="362" w:hRule="atLeast"/>
                    </w:trPr>
                    <w:tc>
                      <w:tcPr>
                        <w:tcW w:w="4367" w:type="dxa"/>
                      </w:tcPr>
                      <w:p>
                        <w:pPr>
                          <w:pStyle w:val="TableParagraph"/>
                          <w:rPr>
                            <w:rFonts w:ascii="Times New Roman"/>
                            <w:sz w:val="18"/>
                          </w:rPr>
                        </w:pPr>
                      </w:p>
                    </w:tc>
                    <w:tc>
                      <w:tcPr>
                        <w:tcW w:w="1602" w:type="dxa"/>
                      </w:tcPr>
                      <w:p>
                        <w:pPr>
                          <w:pStyle w:val="TableParagraph"/>
                          <w:spacing w:before="16"/>
                          <w:ind w:left="672"/>
                          <w:rPr>
                            <w:sz w:val="18"/>
                          </w:rPr>
                        </w:pPr>
                        <w:r>
                          <w:rPr>
                            <w:color w:val="212121"/>
                            <w:sz w:val="18"/>
                          </w:rPr>
                          <w:t>(Outflows)</w:t>
                        </w:r>
                      </w:p>
                    </w:tc>
                    <w:tc>
                      <w:tcPr>
                        <w:tcW w:w="2266" w:type="dxa"/>
                      </w:tcPr>
                      <w:p>
                        <w:pPr>
                          <w:pStyle w:val="TableParagraph"/>
                          <w:spacing w:before="6"/>
                          <w:ind w:left="1396"/>
                          <w:rPr>
                            <w:sz w:val="18"/>
                          </w:rPr>
                        </w:pPr>
                        <w:r>
                          <w:rPr>
                            <w:color w:val="212121"/>
                            <w:sz w:val="18"/>
                          </w:rPr>
                          <w:t>(Outflows)</w:t>
                        </w:r>
                      </w:p>
                    </w:tc>
                  </w:tr>
                  <w:tr>
                    <w:trPr>
                      <w:trHeight w:val="470" w:hRule="atLeast"/>
                    </w:trPr>
                    <w:tc>
                      <w:tcPr>
                        <w:tcW w:w="4367" w:type="dxa"/>
                      </w:tcPr>
                      <w:p>
                        <w:pPr>
                          <w:pStyle w:val="TableParagraph"/>
                          <w:spacing w:before="134"/>
                          <w:ind w:left="52"/>
                          <w:rPr>
                            <w:sz w:val="18"/>
                          </w:rPr>
                        </w:pPr>
                        <w:r>
                          <w:rPr>
                            <w:color w:val="212121"/>
                            <w:sz w:val="18"/>
                          </w:rPr>
                          <w:t>Cash flows </w:t>
                        </w:r>
                        <w:r>
                          <w:rPr>
                            <w:color w:val="313131"/>
                            <w:sz w:val="18"/>
                          </w:rPr>
                          <w:t>from </w:t>
                        </w:r>
                        <w:r>
                          <w:rPr>
                            <w:color w:val="212121"/>
                            <w:sz w:val="18"/>
                          </w:rPr>
                          <w:t>operating activities</w:t>
                        </w:r>
                      </w:p>
                    </w:tc>
                    <w:tc>
                      <w:tcPr>
                        <w:tcW w:w="1602" w:type="dxa"/>
                      </w:tcPr>
                      <w:p>
                        <w:pPr>
                          <w:pStyle w:val="TableParagraph"/>
                          <w:rPr>
                            <w:rFonts w:ascii="Times New Roman"/>
                            <w:sz w:val="18"/>
                          </w:rPr>
                        </w:pPr>
                      </w:p>
                    </w:tc>
                    <w:tc>
                      <w:tcPr>
                        <w:tcW w:w="2266" w:type="dxa"/>
                      </w:tcPr>
                      <w:p>
                        <w:pPr>
                          <w:pStyle w:val="TableParagraph"/>
                          <w:rPr>
                            <w:rFonts w:ascii="Times New Roman"/>
                            <w:sz w:val="18"/>
                          </w:rPr>
                        </w:pPr>
                      </w:p>
                    </w:tc>
                  </w:tr>
                  <w:tr>
                    <w:trPr>
                      <w:trHeight w:val="348" w:hRule="atLeast"/>
                    </w:trPr>
                    <w:tc>
                      <w:tcPr>
                        <w:tcW w:w="4367" w:type="dxa"/>
                      </w:tcPr>
                      <w:p>
                        <w:pPr>
                          <w:pStyle w:val="TableParagraph"/>
                          <w:spacing w:line="194" w:lineRule="exact" w:before="134"/>
                          <w:ind w:left="762"/>
                          <w:rPr>
                            <w:sz w:val="18"/>
                          </w:rPr>
                        </w:pPr>
                        <w:r>
                          <w:rPr>
                            <w:color w:val="212121"/>
                            <w:w w:val="105"/>
                            <w:sz w:val="18"/>
                          </w:rPr>
                          <w:t>Grant </w:t>
                        </w:r>
                        <w:r>
                          <w:rPr>
                            <w:color w:val="313131"/>
                            <w:w w:val="105"/>
                            <w:sz w:val="18"/>
                          </w:rPr>
                          <w:t>Income</w:t>
                        </w:r>
                      </w:p>
                    </w:tc>
                    <w:tc>
                      <w:tcPr>
                        <w:tcW w:w="1602" w:type="dxa"/>
                      </w:tcPr>
                      <w:p>
                        <w:pPr>
                          <w:pStyle w:val="TableParagraph"/>
                          <w:spacing w:line="199" w:lineRule="exact" w:before="129"/>
                          <w:ind w:left="555"/>
                          <w:rPr>
                            <w:sz w:val="18"/>
                          </w:rPr>
                        </w:pPr>
                        <w:r>
                          <w:rPr>
                            <w:color w:val="212121"/>
                            <w:sz w:val="18"/>
                          </w:rPr>
                          <w:t>590,989</w:t>
                        </w:r>
                      </w:p>
                    </w:tc>
                    <w:tc>
                      <w:tcPr>
                        <w:tcW w:w="2266" w:type="dxa"/>
                      </w:tcPr>
                      <w:p>
                        <w:pPr>
                          <w:pStyle w:val="TableParagraph"/>
                          <w:spacing w:line="204" w:lineRule="exact" w:before="124"/>
                          <w:ind w:left="1093"/>
                          <w:rPr>
                            <w:sz w:val="18"/>
                          </w:rPr>
                        </w:pPr>
                        <w:r>
                          <w:rPr>
                            <w:color w:val="212121"/>
                            <w:w w:val="105"/>
                            <w:sz w:val="18"/>
                          </w:rPr>
                          <w:t>676,522</w:t>
                        </w:r>
                      </w:p>
                    </w:tc>
                  </w:tr>
                  <w:tr>
                    <w:trPr>
                      <w:trHeight w:val="228" w:hRule="atLeast"/>
                    </w:trPr>
                    <w:tc>
                      <w:tcPr>
                        <w:tcW w:w="4367" w:type="dxa"/>
                      </w:tcPr>
                      <w:p>
                        <w:pPr>
                          <w:pStyle w:val="TableParagraph"/>
                          <w:spacing w:line="197" w:lineRule="exact" w:before="11"/>
                          <w:ind w:left="765"/>
                          <w:rPr>
                            <w:sz w:val="18"/>
                          </w:rPr>
                        </w:pPr>
                        <w:r>
                          <w:rPr>
                            <w:color w:val="313131"/>
                            <w:w w:val="105"/>
                            <w:sz w:val="18"/>
                          </w:rPr>
                          <w:t>Interest </w:t>
                        </w:r>
                        <w:r>
                          <w:rPr>
                            <w:color w:val="212121"/>
                            <w:w w:val="105"/>
                            <w:sz w:val="18"/>
                          </w:rPr>
                          <w:t>Received</w:t>
                        </w:r>
                      </w:p>
                    </w:tc>
                    <w:tc>
                      <w:tcPr>
                        <w:tcW w:w="1602" w:type="dxa"/>
                      </w:tcPr>
                      <w:p>
                        <w:pPr>
                          <w:pStyle w:val="TableParagraph"/>
                          <w:spacing w:line="197" w:lineRule="exact" w:before="11"/>
                          <w:ind w:left="762"/>
                          <w:rPr>
                            <w:sz w:val="18"/>
                          </w:rPr>
                        </w:pPr>
                        <w:r>
                          <w:rPr>
                            <w:color w:val="212121"/>
                            <w:w w:val="105"/>
                            <w:sz w:val="18"/>
                          </w:rPr>
                          <w:t>9,043</w:t>
                        </w:r>
                      </w:p>
                    </w:tc>
                    <w:tc>
                      <w:tcPr>
                        <w:tcW w:w="2266" w:type="dxa"/>
                      </w:tcPr>
                      <w:p>
                        <w:pPr>
                          <w:pStyle w:val="TableParagraph"/>
                          <w:spacing w:line="206" w:lineRule="exact" w:before="1"/>
                          <w:ind w:left="1303"/>
                          <w:rPr>
                            <w:sz w:val="18"/>
                          </w:rPr>
                        </w:pPr>
                        <w:r>
                          <w:rPr>
                            <w:color w:val="212121"/>
                            <w:sz w:val="18"/>
                          </w:rPr>
                          <w:t>8,941</w:t>
                        </w:r>
                      </w:p>
                    </w:tc>
                  </w:tr>
                  <w:tr>
                    <w:trPr>
                      <w:trHeight w:val="233" w:hRule="atLeast"/>
                    </w:trPr>
                    <w:tc>
                      <w:tcPr>
                        <w:tcW w:w="4367" w:type="dxa"/>
                      </w:tcPr>
                      <w:p>
                        <w:pPr>
                          <w:pStyle w:val="TableParagraph"/>
                          <w:spacing w:line="199" w:lineRule="exact" w:before="13"/>
                          <w:ind w:left="768"/>
                          <w:rPr>
                            <w:sz w:val="18"/>
                          </w:rPr>
                        </w:pPr>
                        <w:r>
                          <w:rPr>
                            <w:color w:val="212121"/>
                            <w:w w:val="105"/>
                            <w:sz w:val="18"/>
                          </w:rPr>
                          <w:t>Membership and Donations</w:t>
                        </w:r>
                      </w:p>
                    </w:tc>
                    <w:tc>
                      <w:tcPr>
                        <w:tcW w:w="1602" w:type="dxa"/>
                      </w:tcPr>
                      <w:p>
                        <w:pPr>
                          <w:pStyle w:val="TableParagraph"/>
                          <w:spacing w:line="204" w:lineRule="exact" w:before="9"/>
                          <w:ind w:left="925"/>
                          <w:rPr>
                            <w:sz w:val="18"/>
                          </w:rPr>
                        </w:pPr>
                        <w:r>
                          <w:rPr>
                            <w:color w:val="212121"/>
                            <w:w w:val="105"/>
                            <w:sz w:val="18"/>
                          </w:rPr>
                          <w:t>883</w:t>
                        </w:r>
                      </w:p>
                    </w:tc>
                    <w:tc>
                      <w:tcPr>
                        <w:tcW w:w="2266" w:type="dxa"/>
                      </w:tcPr>
                      <w:p>
                        <w:pPr>
                          <w:pStyle w:val="TableParagraph"/>
                          <w:spacing w:before="4"/>
                          <w:ind w:left="1306"/>
                          <w:rPr>
                            <w:sz w:val="18"/>
                          </w:rPr>
                        </w:pPr>
                        <w:r>
                          <w:rPr>
                            <w:color w:val="212121"/>
                            <w:w w:val="110"/>
                            <w:sz w:val="18"/>
                          </w:rPr>
                          <w:t>2</w:t>
                        </w:r>
                        <w:r>
                          <w:rPr>
                            <w:color w:val="494949"/>
                            <w:w w:val="110"/>
                            <w:sz w:val="18"/>
                          </w:rPr>
                          <w:t>,</w:t>
                        </w:r>
                        <w:r>
                          <w:rPr>
                            <w:color w:val="212121"/>
                            <w:w w:val="110"/>
                            <w:sz w:val="18"/>
                          </w:rPr>
                          <w:t>941</w:t>
                        </w:r>
                      </w:p>
                    </w:tc>
                  </w:tr>
                  <w:tr>
                    <w:trPr>
                      <w:trHeight w:val="235" w:hRule="atLeast"/>
                    </w:trPr>
                    <w:tc>
                      <w:tcPr>
                        <w:tcW w:w="4367" w:type="dxa"/>
                      </w:tcPr>
                      <w:p>
                        <w:pPr>
                          <w:pStyle w:val="TableParagraph"/>
                          <w:spacing w:line="199" w:lineRule="exact" w:before="16"/>
                          <w:ind w:left="773"/>
                          <w:rPr>
                            <w:sz w:val="18"/>
                          </w:rPr>
                        </w:pPr>
                        <w:r>
                          <w:rPr>
                            <w:color w:val="212121"/>
                            <w:w w:val="105"/>
                            <w:sz w:val="18"/>
                          </w:rPr>
                          <w:t>Other </w:t>
                        </w:r>
                        <w:r>
                          <w:rPr>
                            <w:color w:val="0F0F0F"/>
                            <w:w w:val="105"/>
                            <w:sz w:val="18"/>
                          </w:rPr>
                          <w:t>Income</w:t>
                        </w:r>
                      </w:p>
                    </w:tc>
                    <w:tc>
                      <w:tcPr>
                        <w:tcW w:w="1602" w:type="dxa"/>
                      </w:tcPr>
                      <w:p>
                        <w:pPr>
                          <w:pStyle w:val="TableParagraph"/>
                          <w:spacing w:before="6"/>
                          <w:ind w:left="663"/>
                          <w:rPr>
                            <w:sz w:val="18"/>
                          </w:rPr>
                        </w:pPr>
                        <w:r>
                          <w:rPr>
                            <w:color w:val="313131"/>
                            <w:w w:val="105"/>
                            <w:sz w:val="18"/>
                          </w:rPr>
                          <w:t>10,064</w:t>
                        </w:r>
                      </w:p>
                    </w:tc>
                    <w:tc>
                      <w:tcPr>
                        <w:tcW w:w="2266" w:type="dxa"/>
                      </w:tcPr>
                      <w:p>
                        <w:pPr>
                          <w:pStyle w:val="TableParagraph"/>
                          <w:spacing w:before="6"/>
                          <w:ind w:left="1207"/>
                          <w:rPr>
                            <w:sz w:val="18"/>
                          </w:rPr>
                        </w:pPr>
                        <w:r>
                          <w:rPr>
                            <w:color w:val="212121"/>
                            <w:sz w:val="18"/>
                          </w:rPr>
                          <w:t>33,029</w:t>
                        </w:r>
                      </w:p>
                    </w:tc>
                  </w:tr>
                  <w:tr>
                    <w:trPr>
                      <w:trHeight w:val="218" w:hRule="atLeast"/>
                    </w:trPr>
                    <w:tc>
                      <w:tcPr>
                        <w:tcW w:w="4367" w:type="dxa"/>
                      </w:tcPr>
                      <w:p>
                        <w:pPr>
                          <w:pStyle w:val="TableParagraph"/>
                          <w:spacing w:line="187" w:lineRule="exact" w:before="11"/>
                          <w:ind w:left="777"/>
                          <w:rPr>
                            <w:sz w:val="18"/>
                          </w:rPr>
                        </w:pPr>
                        <w:r>
                          <w:rPr>
                            <w:color w:val="212121"/>
                            <w:w w:val="105"/>
                            <w:sz w:val="18"/>
                          </w:rPr>
                          <w:t>Payments to Suppliers and Employees</w:t>
                        </w:r>
                      </w:p>
                    </w:tc>
                    <w:tc>
                      <w:tcPr>
                        <w:tcW w:w="1602" w:type="dxa"/>
                      </w:tcPr>
                      <w:p>
                        <w:pPr>
                          <w:pStyle w:val="TableParagraph"/>
                          <w:spacing w:line="187" w:lineRule="exact" w:before="11"/>
                          <w:ind w:left="441"/>
                          <w:rPr>
                            <w:sz w:val="18"/>
                          </w:rPr>
                        </w:pPr>
                        <w:r>
                          <w:rPr>
                            <w:color w:val="212121"/>
                            <w:sz w:val="18"/>
                            <w:u w:val="thick" w:color="212121"/>
                          </w:rPr>
                          <w:t>(558,518)</w:t>
                        </w:r>
                      </w:p>
                    </w:tc>
                    <w:tc>
                      <w:tcPr>
                        <w:tcW w:w="2266" w:type="dxa"/>
                      </w:tcPr>
                      <w:p>
                        <w:pPr>
                          <w:pStyle w:val="TableParagraph"/>
                          <w:spacing w:line="192" w:lineRule="exact" w:before="6"/>
                          <w:ind w:left="983"/>
                          <w:rPr>
                            <w:sz w:val="18"/>
                          </w:rPr>
                        </w:pPr>
                        <w:r>
                          <w:rPr>
                            <w:color w:val="212121"/>
                            <w:sz w:val="18"/>
                            <w:u w:val="thick" w:color="212121"/>
                          </w:rPr>
                          <w:t>(722,371)</w:t>
                        </w:r>
                      </w:p>
                    </w:tc>
                  </w:tr>
                </w:tbl>
                <w:p>
                  <w:pPr>
                    <w:pStyle w:val="BodyText"/>
                  </w:pPr>
                </w:p>
              </w:txbxContent>
            </v:textbox>
            <w10:wrap type="none"/>
          </v:shape>
        </w:pict>
      </w:r>
      <w:r>
        <w:rPr>
          <w:color w:val="212121"/>
          <w:w w:val="101"/>
          <w:sz w:val="17"/>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7114" w:val="left" w:leader="none"/>
          <w:tab w:pos="8015" w:val="left" w:leader="none"/>
          <w:tab w:pos="9751" w:val="left" w:leader="none"/>
        </w:tabs>
        <w:spacing w:line="547" w:lineRule="auto" w:before="113"/>
        <w:ind w:left="1284" w:right="862" w:firstLine="399"/>
        <w:jc w:val="left"/>
        <w:rPr>
          <w:sz w:val="18"/>
        </w:rPr>
      </w:pPr>
      <w:r>
        <w:rPr>
          <w:color w:val="212121"/>
          <w:w w:val="105"/>
          <w:sz w:val="18"/>
        </w:rPr>
        <w:t>Net cash provided by/(used in)</w:t>
      </w:r>
      <w:r>
        <w:rPr>
          <w:color w:val="212121"/>
          <w:spacing w:val="-29"/>
          <w:w w:val="105"/>
          <w:sz w:val="18"/>
        </w:rPr>
        <w:t> </w:t>
      </w:r>
      <w:r>
        <w:rPr>
          <w:color w:val="212121"/>
          <w:w w:val="105"/>
          <w:sz w:val="18"/>
        </w:rPr>
        <w:t>operating</w:t>
      </w:r>
      <w:r>
        <w:rPr>
          <w:color w:val="212121"/>
          <w:spacing w:val="0"/>
          <w:w w:val="105"/>
          <w:sz w:val="18"/>
        </w:rPr>
        <w:t> </w:t>
      </w:r>
      <w:r>
        <w:rPr>
          <w:color w:val="212121"/>
          <w:w w:val="105"/>
          <w:sz w:val="18"/>
        </w:rPr>
        <w:t>act</w:t>
      </w:r>
      <w:r>
        <w:rPr>
          <w:color w:val="494949"/>
          <w:w w:val="105"/>
          <w:sz w:val="18"/>
        </w:rPr>
        <w:t>i</w:t>
      </w:r>
      <w:r>
        <w:rPr>
          <w:color w:val="212121"/>
          <w:w w:val="105"/>
          <w:sz w:val="18"/>
        </w:rPr>
        <w:t>vities</w:t>
        <w:tab/>
      </w:r>
      <w:r>
        <w:rPr>
          <w:color w:val="212121"/>
          <w:w w:val="105"/>
          <w:sz w:val="18"/>
          <w:u w:val="single" w:color="000000"/>
        </w:rPr>
        <w:t>52,462</w:t>
        <w:tab/>
      </w:r>
      <w:r>
        <w:rPr>
          <w:color w:val="212121"/>
          <w:w w:val="105"/>
          <w:sz w:val="18"/>
        </w:rPr>
        <w:tab/>
      </w:r>
      <w:r>
        <w:rPr>
          <w:color w:val="212121"/>
          <w:sz w:val="18"/>
          <w:u w:val="thick" w:color="212121"/>
        </w:rPr>
        <w:t>(938)</w:t>
      </w:r>
      <w:r>
        <w:rPr>
          <w:color w:val="212121"/>
          <w:sz w:val="18"/>
        </w:rPr>
        <w:t> </w:t>
      </w:r>
      <w:r>
        <w:rPr>
          <w:color w:val="212121"/>
          <w:w w:val="105"/>
          <w:sz w:val="18"/>
        </w:rPr>
        <w:t>Cash </w:t>
      </w:r>
      <w:r>
        <w:rPr>
          <w:color w:val="313131"/>
          <w:w w:val="105"/>
          <w:sz w:val="18"/>
        </w:rPr>
        <w:t>flows from </w:t>
      </w:r>
      <w:r>
        <w:rPr>
          <w:color w:val="212121"/>
          <w:w w:val="105"/>
          <w:sz w:val="18"/>
        </w:rPr>
        <w:t>investing</w:t>
      </w:r>
      <w:r>
        <w:rPr>
          <w:color w:val="212121"/>
          <w:spacing w:val="5"/>
          <w:w w:val="105"/>
          <w:sz w:val="18"/>
        </w:rPr>
        <w:t> </w:t>
      </w:r>
      <w:r>
        <w:rPr>
          <w:color w:val="212121"/>
          <w:w w:val="105"/>
          <w:sz w:val="18"/>
        </w:rPr>
        <w:t>activities</w:t>
      </w:r>
    </w:p>
    <w:tbl>
      <w:tblPr>
        <w:tblW w:w="0" w:type="auto"/>
        <w:jc w:val="left"/>
        <w:tblInd w:w="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8"/>
        <w:gridCol w:w="1180"/>
        <w:gridCol w:w="1070"/>
        <w:gridCol w:w="1067"/>
      </w:tblGrid>
      <w:tr>
        <w:trPr>
          <w:trHeight w:val="437" w:hRule="atLeast"/>
        </w:trPr>
        <w:tc>
          <w:tcPr>
            <w:tcW w:w="5728" w:type="dxa"/>
          </w:tcPr>
          <w:p>
            <w:pPr>
              <w:pStyle w:val="TableParagraph"/>
              <w:spacing w:line="195" w:lineRule="exact"/>
              <w:ind w:left="761"/>
              <w:rPr>
                <w:sz w:val="18"/>
              </w:rPr>
            </w:pPr>
            <w:r>
              <w:rPr>
                <w:color w:val="212121"/>
                <w:sz w:val="18"/>
              </w:rPr>
              <w:t>Non-operating </w:t>
            </w:r>
            <w:r>
              <w:rPr>
                <w:color w:val="313131"/>
                <w:sz w:val="18"/>
              </w:rPr>
              <w:t>Income</w:t>
            </w:r>
          </w:p>
          <w:p>
            <w:pPr>
              <w:pStyle w:val="TableParagraph"/>
              <w:spacing w:line="203" w:lineRule="exact" w:before="19"/>
              <w:ind w:left="761"/>
              <w:rPr>
                <w:sz w:val="18"/>
              </w:rPr>
            </w:pPr>
            <w:r>
              <w:rPr>
                <w:color w:val="212121"/>
                <w:sz w:val="18"/>
              </w:rPr>
              <w:t>Proceeds from sale of property, plant and ec</w:t>
            </w:r>
          </w:p>
        </w:tc>
        <w:tc>
          <w:tcPr>
            <w:tcW w:w="1180" w:type="dxa"/>
          </w:tcPr>
          <w:p>
            <w:pPr>
              <w:pStyle w:val="TableParagraph"/>
              <w:rPr>
                <w:rFonts w:ascii="Times New Roman"/>
                <w:sz w:val="18"/>
              </w:rPr>
            </w:pPr>
          </w:p>
        </w:tc>
        <w:tc>
          <w:tcPr>
            <w:tcW w:w="1070" w:type="dxa"/>
          </w:tcPr>
          <w:p>
            <w:pPr>
              <w:pStyle w:val="TableParagraph"/>
              <w:spacing w:before="2"/>
              <w:rPr>
                <w:sz w:val="18"/>
              </w:rPr>
            </w:pPr>
          </w:p>
          <w:p>
            <w:pPr>
              <w:pStyle w:val="TableParagraph"/>
              <w:ind w:left="300"/>
              <w:rPr>
                <w:sz w:val="18"/>
              </w:rPr>
            </w:pPr>
            <w:r>
              <w:rPr>
                <w:color w:val="212121"/>
                <w:w w:val="105"/>
                <w:sz w:val="18"/>
              </w:rPr>
              <w:t>8,636</w:t>
            </w:r>
          </w:p>
        </w:tc>
        <w:tc>
          <w:tcPr>
            <w:tcW w:w="1067" w:type="dxa"/>
          </w:tcPr>
          <w:p>
            <w:pPr>
              <w:pStyle w:val="TableParagraph"/>
              <w:rPr>
                <w:rFonts w:ascii="Times New Roman"/>
                <w:sz w:val="18"/>
              </w:rPr>
            </w:pPr>
          </w:p>
        </w:tc>
      </w:tr>
      <w:tr>
        <w:trPr>
          <w:trHeight w:val="812" w:hRule="atLeast"/>
        </w:trPr>
        <w:tc>
          <w:tcPr>
            <w:tcW w:w="5728" w:type="dxa"/>
          </w:tcPr>
          <w:p>
            <w:pPr>
              <w:pStyle w:val="TableParagraph"/>
              <w:tabs>
                <w:tab w:pos="4907" w:val="left" w:leader="none"/>
              </w:tabs>
              <w:spacing w:before="2"/>
              <w:ind w:left="761"/>
              <w:rPr>
                <w:sz w:val="18"/>
              </w:rPr>
            </w:pPr>
            <w:r>
              <w:rPr>
                <w:color w:val="212121"/>
                <w:w w:val="105"/>
                <w:sz w:val="18"/>
              </w:rPr>
              <w:t>Payment</w:t>
            </w:r>
            <w:r>
              <w:rPr>
                <w:color w:val="212121"/>
                <w:spacing w:val="-16"/>
                <w:w w:val="105"/>
                <w:sz w:val="18"/>
              </w:rPr>
              <w:t> </w:t>
            </w:r>
            <w:r>
              <w:rPr>
                <w:color w:val="212121"/>
                <w:w w:val="105"/>
                <w:sz w:val="18"/>
              </w:rPr>
              <w:t>for</w:t>
            </w:r>
            <w:r>
              <w:rPr>
                <w:color w:val="212121"/>
                <w:spacing w:val="-21"/>
                <w:w w:val="105"/>
                <w:sz w:val="18"/>
              </w:rPr>
              <w:t> </w:t>
            </w:r>
            <w:r>
              <w:rPr>
                <w:color w:val="212121"/>
                <w:w w:val="105"/>
                <w:sz w:val="18"/>
              </w:rPr>
              <w:t>property,</w:t>
            </w:r>
            <w:r>
              <w:rPr>
                <w:color w:val="212121"/>
                <w:spacing w:val="-21"/>
                <w:w w:val="105"/>
                <w:sz w:val="18"/>
              </w:rPr>
              <w:t> </w:t>
            </w:r>
            <w:r>
              <w:rPr>
                <w:color w:val="212121"/>
                <w:w w:val="105"/>
                <w:sz w:val="18"/>
              </w:rPr>
              <w:t>plant</w:t>
            </w:r>
            <w:r>
              <w:rPr>
                <w:color w:val="212121"/>
                <w:spacing w:val="-22"/>
                <w:w w:val="105"/>
                <w:sz w:val="18"/>
              </w:rPr>
              <w:t> </w:t>
            </w:r>
            <w:r>
              <w:rPr>
                <w:color w:val="313131"/>
                <w:w w:val="105"/>
                <w:sz w:val="18"/>
              </w:rPr>
              <w:t>and</w:t>
            </w:r>
            <w:r>
              <w:rPr>
                <w:color w:val="313131"/>
                <w:spacing w:val="-26"/>
                <w:w w:val="105"/>
                <w:sz w:val="18"/>
              </w:rPr>
              <w:t> </w:t>
            </w:r>
            <w:r>
              <w:rPr>
                <w:color w:val="212121"/>
                <w:w w:val="105"/>
                <w:sz w:val="18"/>
              </w:rPr>
              <w:t>equipment</w:t>
              <w:tab/>
            </w:r>
            <w:r>
              <w:rPr>
                <w:color w:val="313131"/>
                <w:w w:val="105"/>
                <w:position w:val="1"/>
                <w:sz w:val="18"/>
              </w:rPr>
              <w:t>(15,170)</w:t>
            </w:r>
          </w:p>
          <w:p>
            <w:pPr>
              <w:pStyle w:val="TableParagraph"/>
              <w:spacing w:before="8"/>
              <w:rPr>
                <w:sz w:val="21"/>
              </w:rPr>
            </w:pPr>
          </w:p>
          <w:p>
            <w:pPr>
              <w:pStyle w:val="TableParagraph"/>
              <w:ind w:left="444"/>
              <w:rPr>
                <w:sz w:val="18"/>
              </w:rPr>
            </w:pPr>
            <w:r>
              <w:rPr>
                <w:color w:val="212121"/>
                <w:w w:val="105"/>
                <w:sz w:val="18"/>
              </w:rPr>
              <w:t>Net cash provided by/(used </w:t>
            </w:r>
            <w:r>
              <w:rPr>
                <w:color w:val="313131"/>
                <w:w w:val="105"/>
                <w:sz w:val="18"/>
              </w:rPr>
              <w:t>in) </w:t>
            </w:r>
            <w:r>
              <w:rPr>
                <w:color w:val="212121"/>
                <w:w w:val="105"/>
                <w:sz w:val="18"/>
              </w:rPr>
              <w:t>or </w:t>
            </w:r>
            <w:r>
              <w:rPr>
                <w:color w:val="313131"/>
                <w:w w:val="105"/>
                <w:sz w:val="18"/>
              </w:rPr>
              <w:t>from </w:t>
            </w:r>
            <w:r>
              <w:rPr>
                <w:color w:val="212121"/>
                <w:w w:val="105"/>
                <w:sz w:val="18"/>
              </w:rPr>
              <w:t>investing activities</w:t>
            </w:r>
          </w:p>
        </w:tc>
        <w:tc>
          <w:tcPr>
            <w:tcW w:w="1180" w:type="dxa"/>
          </w:tcPr>
          <w:p>
            <w:pPr>
              <w:pStyle w:val="TableParagraph"/>
              <w:rPr>
                <w:sz w:val="20"/>
              </w:rPr>
            </w:pPr>
          </w:p>
          <w:p>
            <w:pPr>
              <w:pStyle w:val="TableParagraph"/>
              <w:spacing w:before="9"/>
              <w:rPr>
                <w:sz w:val="20"/>
              </w:rPr>
            </w:pPr>
          </w:p>
          <w:p>
            <w:pPr>
              <w:pStyle w:val="TableParagraph"/>
              <w:ind w:left="154"/>
              <w:rPr>
                <w:sz w:val="18"/>
              </w:rPr>
            </w:pPr>
            <w:r>
              <w:rPr>
                <w:color w:val="212121"/>
                <w:sz w:val="18"/>
                <w:u w:val="thick" w:color="212121"/>
              </w:rPr>
              <w:t>(15,170)</w:t>
            </w:r>
          </w:p>
        </w:tc>
        <w:tc>
          <w:tcPr>
            <w:tcW w:w="1070" w:type="dxa"/>
          </w:tcPr>
          <w:p>
            <w:pPr>
              <w:pStyle w:val="TableParagraph"/>
              <w:spacing w:line="205" w:lineRule="exact"/>
              <w:ind w:left="142"/>
              <w:rPr>
                <w:sz w:val="18"/>
              </w:rPr>
            </w:pPr>
            <w:r>
              <w:rPr>
                <w:color w:val="313131"/>
                <w:sz w:val="18"/>
              </w:rPr>
              <w:t>(16,657)</w:t>
            </w:r>
          </w:p>
        </w:tc>
        <w:tc>
          <w:tcPr>
            <w:tcW w:w="1067" w:type="dxa"/>
          </w:tcPr>
          <w:p>
            <w:pPr>
              <w:pStyle w:val="TableParagraph"/>
              <w:rPr>
                <w:sz w:val="20"/>
              </w:rPr>
            </w:pPr>
          </w:p>
          <w:p>
            <w:pPr>
              <w:pStyle w:val="TableParagraph"/>
              <w:spacing w:before="4"/>
              <w:rPr>
                <w:sz w:val="20"/>
              </w:rPr>
            </w:pPr>
          </w:p>
          <w:p>
            <w:pPr>
              <w:pStyle w:val="TableParagraph"/>
              <w:ind w:right="98"/>
              <w:jc w:val="right"/>
              <w:rPr>
                <w:sz w:val="18"/>
              </w:rPr>
            </w:pPr>
            <w:r>
              <w:rPr>
                <w:color w:val="212121"/>
                <w:sz w:val="18"/>
                <w:u w:val="thick" w:color="212121"/>
              </w:rPr>
              <w:t>(8,021)</w:t>
            </w:r>
          </w:p>
        </w:tc>
      </w:tr>
      <w:tr>
        <w:trPr>
          <w:trHeight w:val="475" w:hRule="atLeast"/>
        </w:trPr>
        <w:tc>
          <w:tcPr>
            <w:tcW w:w="5728" w:type="dxa"/>
          </w:tcPr>
          <w:p>
            <w:pPr>
              <w:pStyle w:val="TableParagraph"/>
              <w:spacing w:before="137"/>
              <w:ind w:left="50"/>
              <w:rPr>
                <w:sz w:val="18"/>
              </w:rPr>
            </w:pPr>
            <w:r>
              <w:rPr>
                <w:color w:val="212121"/>
                <w:w w:val="105"/>
                <w:sz w:val="18"/>
              </w:rPr>
              <w:t>Net </w:t>
            </w:r>
            <w:r>
              <w:rPr>
                <w:color w:val="313131"/>
                <w:w w:val="105"/>
                <w:sz w:val="18"/>
              </w:rPr>
              <w:t>increase in </w:t>
            </w:r>
            <w:r>
              <w:rPr>
                <w:color w:val="212121"/>
                <w:w w:val="105"/>
                <w:sz w:val="18"/>
              </w:rPr>
              <w:t>cash held</w:t>
            </w:r>
          </w:p>
        </w:tc>
        <w:tc>
          <w:tcPr>
            <w:tcW w:w="1180" w:type="dxa"/>
          </w:tcPr>
          <w:p>
            <w:pPr>
              <w:pStyle w:val="TableParagraph"/>
              <w:tabs>
                <w:tab w:pos="1038" w:val="left" w:leader="none"/>
              </w:tabs>
              <w:spacing w:before="118"/>
              <w:ind w:left="137"/>
              <w:rPr>
                <w:sz w:val="18"/>
              </w:rPr>
            </w:pPr>
            <w:r>
              <w:rPr>
                <w:color w:val="212121"/>
                <w:w w:val="100"/>
                <w:sz w:val="18"/>
                <w:u w:val="single" w:color="000000"/>
              </w:rPr>
              <w:t> </w:t>
            </w:r>
            <w:r>
              <w:rPr>
                <w:color w:val="212121"/>
                <w:spacing w:val="17"/>
                <w:sz w:val="18"/>
                <w:u w:val="single" w:color="000000"/>
              </w:rPr>
              <w:t> </w:t>
            </w:r>
            <w:r>
              <w:rPr>
                <w:color w:val="212121"/>
                <w:w w:val="105"/>
                <w:sz w:val="18"/>
                <w:u w:val="single" w:color="000000"/>
              </w:rPr>
              <w:t>37,292</w:t>
            </w:r>
            <w:r>
              <w:rPr>
                <w:color w:val="212121"/>
                <w:sz w:val="18"/>
                <w:u w:val="single" w:color="000000"/>
              </w:rPr>
              <w:tab/>
            </w:r>
          </w:p>
        </w:tc>
        <w:tc>
          <w:tcPr>
            <w:tcW w:w="1070" w:type="dxa"/>
          </w:tcPr>
          <w:p>
            <w:pPr>
              <w:pStyle w:val="TableParagraph"/>
              <w:rPr>
                <w:rFonts w:ascii="Times New Roman"/>
                <w:sz w:val="18"/>
              </w:rPr>
            </w:pPr>
          </w:p>
        </w:tc>
        <w:tc>
          <w:tcPr>
            <w:tcW w:w="1067" w:type="dxa"/>
          </w:tcPr>
          <w:p>
            <w:pPr>
              <w:pStyle w:val="TableParagraph"/>
              <w:spacing w:before="118"/>
              <w:ind w:right="87"/>
              <w:jc w:val="right"/>
              <w:rPr>
                <w:sz w:val="18"/>
              </w:rPr>
            </w:pPr>
            <w:r>
              <w:rPr>
                <w:color w:val="212121"/>
                <w:sz w:val="18"/>
                <w:u w:val="thick" w:color="212121"/>
              </w:rPr>
              <w:t>(8,959)</w:t>
            </w:r>
          </w:p>
        </w:tc>
      </w:tr>
      <w:tr>
        <w:trPr>
          <w:trHeight w:val="470" w:hRule="atLeast"/>
        </w:trPr>
        <w:tc>
          <w:tcPr>
            <w:tcW w:w="5728" w:type="dxa"/>
          </w:tcPr>
          <w:p>
            <w:pPr>
              <w:pStyle w:val="TableParagraph"/>
              <w:spacing w:before="133"/>
              <w:ind w:left="54"/>
              <w:rPr>
                <w:sz w:val="18"/>
              </w:rPr>
            </w:pPr>
            <w:r>
              <w:rPr>
                <w:color w:val="212121"/>
                <w:w w:val="105"/>
                <w:sz w:val="18"/>
              </w:rPr>
              <w:t>Cash at beginning of </w:t>
            </w:r>
            <w:r>
              <w:rPr>
                <w:color w:val="313131"/>
                <w:w w:val="105"/>
                <w:sz w:val="18"/>
              </w:rPr>
              <w:t>the </w:t>
            </w:r>
            <w:r>
              <w:rPr>
                <w:color w:val="212121"/>
                <w:w w:val="105"/>
                <w:sz w:val="18"/>
              </w:rPr>
              <w:t>financial year</w:t>
            </w:r>
          </w:p>
        </w:tc>
        <w:tc>
          <w:tcPr>
            <w:tcW w:w="1180" w:type="dxa"/>
          </w:tcPr>
          <w:p>
            <w:pPr>
              <w:pStyle w:val="TableParagraph"/>
              <w:spacing w:before="118"/>
              <w:ind w:left="137"/>
              <w:rPr>
                <w:sz w:val="18"/>
              </w:rPr>
            </w:pPr>
            <w:r>
              <w:rPr>
                <w:color w:val="212121"/>
                <w:w w:val="100"/>
                <w:sz w:val="18"/>
                <w:u w:val="single" w:color="000000"/>
              </w:rPr>
              <w:t> </w:t>
            </w:r>
            <w:r>
              <w:rPr>
                <w:color w:val="212121"/>
                <w:w w:val="105"/>
                <w:sz w:val="18"/>
                <w:u w:val="single" w:color="000000"/>
              </w:rPr>
              <w:t>297,813</w:t>
            </w:r>
            <w:r>
              <w:rPr>
                <w:color w:val="212121"/>
                <w:sz w:val="18"/>
                <w:u w:val="single" w:color="000000"/>
              </w:rPr>
              <w:t> </w:t>
            </w:r>
          </w:p>
        </w:tc>
        <w:tc>
          <w:tcPr>
            <w:tcW w:w="1070" w:type="dxa"/>
          </w:tcPr>
          <w:p>
            <w:pPr>
              <w:pStyle w:val="TableParagraph"/>
              <w:rPr>
                <w:rFonts w:ascii="Times New Roman"/>
                <w:sz w:val="18"/>
              </w:rPr>
            </w:pPr>
          </w:p>
        </w:tc>
        <w:tc>
          <w:tcPr>
            <w:tcW w:w="1067" w:type="dxa"/>
          </w:tcPr>
          <w:p>
            <w:pPr>
              <w:pStyle w:val="TableParagraph"/>
              <w:spacing w:before="113"/>
              <w:ind w:right="77"/>
              <w:jc w:val="right"/>
              <w:rPr>
                <w:sz w:val="18"/>
              </w:rPr>
            </w:pPr>
            <w:r>
              <w:rPr>
                <w:color w:val="212121"/>
                <w:w w:val="100"/>
                <w:sz w:val="18"/>
                <w:u w:val="single" w:color="000000"/>
              </w:rPr>
              <w:t> </w:t>
            </w:r>
            <w:r>
              <w:rPr>
                <w:color w:val="212121"/>
                <w:sz w:val="18"/>
                <w:u w:val="single" w:color="000000"/>
              </w:rPr>
              <w:t>306,772</w:t>
            </w:r>
          </w:p>
        </w:tc>
      </w:tr>
      <w:tr>
        <w:trPr>
          <w:trHeight w:val="379" w:hRule="atLeast"/>
        </w:trPr>
        <w:tc>
          <w:tcPr>
            <w:tcW w:w="5728" w:type="dxa"/>
          </w:tcPr>
          <w:p>
            <w:pPr>
              <w:pStyle w:val="TableParagraph"/>
              <w:spacing w:before="133"/>
              <w:ind w:left="54"/>
              <w:rPr>
                <w:sz w:val="18"/>
              </w:rPr>
            </w:pPr>
            <w:r>
              <w:rPr>
                <w:color w:val="212121"/>
                <w:w w:val="105"/>
                <w:sz w:val="18"/>
              </w:rPr>
              <w:t>Cash at the end of the financial year</w:t>
            </w:r>
          </w:p>
        </w:tc>
        <w:tc>
          <w:tcPr>
            <w:tcW w:w="1180" w:type="dxa"/>
          </w:tcPr>
          <w:p>
            <w:pPr>
              <w:pStyle w:val="TableParagraph"/>
              <w:spacing w:before="123"/>
              <w:ind w:left="191"/>
              <w:rPr>
                <w:sz w:val="18"/>
              </w:rPr>
            </w:pPr>
            <w:r>
              <w:rPr>
                <w:color w:val="212121"/>
                <w:w w:val="105"/>
                <w:sz w:val="18"/>
              </w:rPr>
              <w:t>335,105</w:t>
            </w:r>
          </w:p>
        </w:tc>
        <w:tc>
          <w:tcPr>
            <w:tcW w:w="1070" w:type="dxa"/>
          </w:tcPr>
          <w:p>
            <w:pPr>
              <w:pStyle w:val="TableParagraph"/>
              <w:rPr>
                <w:rFonts w:ascii="Times New Roman"/>
                <w:sz w:val="18"/>
              </w:rPr>
            </w:pPr>
          </w:p>
        </w:tc>
        <w:tc>
          <w:tcPr>
            <w:tcW w:w="1067" w:type="dxa"/>
          </w:tcPr>
          <w:p>
            <w:pPr>
              <w:pStyle w:val="TableParagraph"/>
              <w:spacing w:before="113"/>
              <w:ind w:right="70"/>
              <w:jc w:val="right"/>
              <w:rPr>
                <w:sz w:val="18"/>
              </w:rPr>
            </w:pPr>
            <w:r>
              <w:rPr>
                <w:color w:val="212121"/>
                <w:sz w:val="18"/>
              </w:rPr>
              <w:t>297,813</w:t>
            </w:r>
          </w:p>
        </w:tc>
      </w:tr>
    </w:tbl>
    <w:p>
      <w:pPr>
        <w:spacing w:after="0"/>
        <w:jc w:val="right"/>
        <w:rPr>
          <w:sz w:val="18"/>
        </w:rPr>
        <w:sectPr>
          <w:pgSz w:w="11910" w:h="16840"/>
          <w:pgMar w:header="0" w:footer="1209" w:top="1580" w:bottom="1420" w:left="480" w:right="380"/>
        </w:sectPr>
      </w:pPr>
    </w:p>
    <w:p>
      <w:pPr>
        <w:pStyle w:val="BodyText"/>
        <w:rPr>
          <w:sz w:val="20"/>
        </w:rPr>
      </w:pPr>
    </w:p>
    <w:p>
      <w:pPr>
        <w:pStyle w:val="BodyText"/>
        <w:spacing w:before="10"/>
        <w:rPr>
          <w:sz w:val="18"/>
        </w:rPr>
      </w:pPr>
    </w:p>
    <w:p>
      <w:pPr>
        <w:spacing w:before="0"/>
        <w:ind w:left="1306" w:right="0" w:firstLine="0"/>
        <w:jc w:val="left"/>
        <w:rPr>
          <w:b/>
          <w:sz w:val="18"/>
        </w:rPr>
      </w:pPr>
      <w:r>
        <w:rPr>
          <w:b/>
          <w:color w:val="2F2F2F"/>
          <w:sz w:val="18"/>
        </w:rPr>
        <w:t>STATEMENT OF CASH FLOWS</w:t>
      </w:r>
    </w:p>
    <w:p>
      <w:pPr>
        <w:pStyle w:val="BodyText"/>
        <w:rPr>
          <w:b/>
          <w:sz w:val="20"/>
        </w:rPr>
      </w:pPr>
    </w:p>
    <w:p>
      <w:pPr>
        <w:pStyle w:val="BodyText"/>
        <w:spacing w:before="7"/>
        <w:rPr>
          <w:b/>
          <w:sz w:val="22"/>
        </w:rPr>
      </w:pPr>
    </w:p>
    <w:p>
      <w:pPr>
        <w:spacing w:before="0"/>
        <w:ind w:left="1303" w:right="0" w:firstLine="0"/>
        <w:jc w:val="left"/>
        <w:rPr>
          <w:b/>
          <w:sz w:val="18"/>
        </w:rPr>
      </w:pPr>
      <w:r>
        <w:rPr>
          <w:b/>
          <w:color w:val="2F2F2F"/>
          <w:w w:val="105"/>
          <w:sz w:val="18"/>
        </w:rPr>
        <w:t>(a) Reconciliation of Cash</w:t>
      </w:r>
    </w:p>
    <w:p>
      <w:pPr>
        <w:pStyle w:val="BodyText"/>
        <w:spacing w:before="1"/>
        <w:rPr>
          <w:b/>
          <w:sz w:val="22"/>
        </w:rPr>
      </w:pPr>
    </w:p>
    <w:p>
      <w:pPr>
        <w:spacing w:line="268" w:lineRule="auto" w:before="0"/>
        <w:ind w:left="1815" w:right="3291" w:firstLine="1"/>
        <w:jc w:val="left"/>
        <w:rPr>
          <w:sz w:val="18"/>
        </w:rPr>
      </w:pPr>
      <w:r>
        <w:rPr>
          <w:color w:val="2F2F2F"/>
          <w:sz w:val="18"/>
        </w:rPr>
        <w:t>For the purposes of the statement of cash </w:t>
      </w:r>
      <w:r>
        <w:rPr>
          <w:color w:val="414141"/>
          <w:sz w:val="18"/>
        </w:rPr>
        <w:t>flows, </w:t>
      </w:r>
      <w:r>
        <w:rPr>
          <w:color w:val="2F2F2F"/>
          <w:sz w:val="18"/>
        </w:rPr>
        <w:t>cash includes cash on hand </w:t>
      </w:r>
      <w:r>
        <w:rPr>
          <w:color w:val="414141"/>
          <w:sz w:val="18"/>
        </w:rPr>
        <w:t>a,nd in </w:t>
      </w:r>
      <w:r>
        <w:rPr>
          <w:color w:val="2F2F2F"/>
          <w:sz w:val="18"/>
        </w:rPr>
        <w:t>banks a,nd </w:t>
      </w:r>
      <w:r>
        <w:rPr>
          <w:color w:val="414141"/>
          <w:sz w:val="18"/>
        </w:rPr>
        <w:t>investments </w:t>
      </w:r>
      <w:r>
        <w:rPr>
          <w:color w:val="2F2F2F"/>
          <w:sz w:val="18"/>
        </w:rPr>
        <w:t>in </w:t>
      </w:r>
      <w:r>
        <w:rPr>
          <w:color w:val="414141"/>
          <w:sz w:val="18"/>
        </w:rPr>
        <w:t>money </w:t>
      </w:r>
      <w:r>
        <w:rPr>
          <w:color w:val="2F2F2F"/>
          <w:sz w:val="18"/>
        </w:rPr>
        <w:t>market instruments, net of outstanding bank overdrafts. Cash at </w:t>
      </w:r>
      <w:r>
        <w:rPr>
          <w:color w:val="414141"/>
          <w:sz w:val="18"/>
        </w:rPr>
        <w:t>the </w:t>
      </w:r>
      <w:r>
        <w:rPr>
          <w:color w:val="2F2F2F"/>
          <w:sz w:val="18"/>
        </w:rPr>
        <w:t>end of </w:t>
      </w:r>
      <w:r>
        <w:rPr>
          <w:color w:val="414141"/>
          <w:sz w:val="18"/>
        </w:rPr>
        <w:t>the financial </w:t>
      </w:r>
      <w:r>
        <w:rPr>
          <w:color w:val="2F2F2F"/>
          <w:sz w:val="18"/>
        </w:rPr>
        <w:t>year as shown </w:t>
      </w:r>
      <w:r>
        <w:rPr>
          <w:color w:val="979797"/>
          <w:sz w:val="18"/>
        </w:rPr>
        <w:t>,</w:t>
      </w:r>
      <w:r>
        <w:rPr>
          <w:color w:val="414141"/>
          <w:sz w:val="18"/>
        </w:rPr>
        <w:t>in the </w:t>
      </w:r>
      <w:r>
        <w:rPr>
          <w:color w:val="2F2F2F"/>
          <w:sz w:val="18"/>
        </w:rPr>
        <w:t>statement of cash </w:t>
      </w:r>
      <w:r>
        <w:rPr>
          <w:color w:val="414141"/>
          <w:sz w:val="18"/>
        </w:rPr>
        <w:t>flows is </w:t>
      </w:r>
      <w:r>
        <w:rPr>
          <w:color w:val="2F2F2F"/>
          <w:sz w:val="18"/>
        </w:rPr>
        <w:t>reconciled </w:t>
      </w:r>
      <w:r>
        <w:rPr>
          <w:color w:val="414141"/>
          <w:sz w:val="18"/>
        </w:rPr>
        <w:t>to the </w:t>
      </w:r>
      <w:r>
        <w:rPr>
          <w:color w:val="2F2F2F"/>
          <w:sz w:val="18"/>
        </w:rPr>
        <w:t>related items </w:t>
      </w:r>
      <w:r>
        <w:rPr>
          <w:color w:val="414141"/>
          <w:sz w:val="18"/>
        </w:rPr>
        <w:t>in </w:t>
      </w:r>
      <w:r>
        <w:rPr>
          <w:color w:val="2F2F2F"/>
          <w:sz w:val="18"/>
        </w:rPr>
        <w:t>the balance sheet as follows:</w:t>
      </w:r>
    </w:p>
    <w:p>
      <w:pPr>
        <w:pStyle w:val="BodyText"/>
        <w:rPr>
          <w:sz w:val="20"/>
        </w:rPr>
      </w:pPr>
    </w:p>
    <w:p>
      <w:pPr>
        <w:spacing w:after="0"/>
        <w:rPr>
          <w:sz w:val="20"/>
        </w:rPr>
        <w:sectPr>
          <w:pgSz w:w="11910" w:h="16840"/>
          <w:pgMar w:header="0" w:footer="1209" w:top="1580" w:bottom="1420" w:left="480" w:right="380"/>
        </w:sectPr>
      </w:pPr>
    </w:p>
    <w:p>
      <w:pPr>
        <w:pStyle w:val="BodyText"/>
        <w:spacing w:before="10"/>
        <w:rPr>
          <w:sz w:val="20"/>
        </w:rPr>
      </w:pPr>
    </w:p>
    <w:p>
      <w:pPr>
        <w:spacing w:before="0"/>
        <w:ind w:left="0" w:right="38" w:firstLine="0"/>
        <w:jc w:val="right"/>
        <w:rPr>
          <w:sz w:val="18"/>
        </w:rPr>
      </w:pPr>
      <w:r>
        <w:rPr>
          <w:color w:val="2F2F2F"/>
          <w:sz w:val="18"/>
        </w:rPr>
        <w:t>Cash</w:t>
      </w:r>
    </w:p>
    <w:p>
      <w:pPr>
        <w:pStyle w:val="BodyText"/>
        <w:spacing w:before="8"/>
        <w:rPr>
          <w:sz w:val="21"/>
        </w:rPr>
      </w:pPr>
      <w:r>
        <w:rPr/>
        <w:br w:type="column"/>
      </w:r>
      <w:r>
        <w:rPr>
          <w:sz w:val="21"/>
        </w:rPr>
      </w:r>
    </w:p>
    <w:p>
      <w:pPr>
        <w:spacing w:before="0"/>
        <w:ind w:left="0" w:right="0" w:firstLine="0"/>
        <w:jc w:val="right"/>
        <w:rPr>
          <w:sz w:val="18"/>
        </w:rPr>
      </w:pPr>
      <w:r>
        <w:rPr>
          <w:color w:val="2F2F2F"/>
          <w:sz w:val="18"/>
        </w:rPr>
        <w:t>212,360</w:t>
      </w:r>
    </w:p>
    <w:p>
      <w:pPr>
        <w:pStyle w:val="BodyText"/>
        <w:spacing w:before="3"/>
        <w:rPr>
          <w:sz w:val="21"/>
        </w:rPr>
      </w:pPr>
      <w:r>
        <w:rPr/>
        <w:br w:type="column"/>
      </w:r>
      <w:r>
        <w:rPr>
          <w:sz w:val="21"/>
        </w:rPr>
      </w:r>
    </w:p>
    <w:p>
      <w:pPr>
        <w:spacing w:before="1"/>
        <w:ind w:left="505" w:right="0" w:firstLine="0"/>
        <w:jc w:val="left"/>
        <w:rPr>
          <w:sz w:val="18"/>
        </w:rPr>
      </w:pPr>
      <w:r>
        <w:rPr>
          <w:color w:val="414141"/>
          <w:sz w:val="18"/>
        </w:rPr>
        <w:t>180,994</w:t>
      </w:r>
    </w:p>
    <w:p>
      <w:pPr>
        <w:spacing w:after="0"/>
        <w:jc w:val="left"/>
        <w:rPr>
          <w:sz w:val="18"/>
        </w:rPr>
        <w:sectPr>
          <w:type w:val="continuous"/>
          <w:pgSz w:w="11910" w:h="16840"/>
          <w:pgMar w:top="1580" w:bottom="280" w:left="480" w:right="380"/>
          <w:cols w:num="3" w:equalWidth="0">
            <w:col w:w="2297" w:space="4206"/>
            <w:col w:w="2494" w:space="39"/>
            <w:col w:w="2014"/>
          </w:cols>
        </w:sectPr>
      </w:pPr>
    </w:p>
    <w:p>
      <w:pPr>
        <w:spacing w:before="19"/>
        <w:ind w:left="1808" w:right="0" w:firstLine="0"/>
        <w:jc w:val="left"/>
        <w:rPr>
          <w:sz w:val="18"/>
        </w:rPr>
      </w:pPr>
      <w:r>
        <w:rPr>
          <w:color w:val="414141"/>
          <w:w w:val="105"/>
          <w:sz w:val="18"/>
        </w:rPr>
        <w:t>Deposits </w:t>
      </w:r>
      <w:r>
        <w:rPr>
          <w:color w:val="2F2F2F"/>
          <w:w w:val="105"/>
          <w:sz w:val="18"/>
        </w:rPr>
        <w:t>at Call</w:t>
      </w:r>
    </w:p>
    <w:p>
      <w:pPr>
        <w:pStyle w:val="BodyText"/>
        <w:spacing w:before="6"/>
        <w:rPr>
          <w:sz w:val="22"/>
        </w:rPr>
      </w:pPr>
    </w:p>
    <w:p>
      <w:pPr>
        <w:pStyle w:val="ListParagraph"/>
        <w:numPr>
          <w:ilvl w:val="0"/>
          <w:numId w:val="6"/>
        </w:numPr>
        <w:tabs>
          <w:tab w:pos="1828" w:val="left" w:leader="none"/>
          <w:tab w:pos="1829" w:val="left" w:leader="none"/>
        </w:tabs>
        <w:spacing w:line="240" w:lineRule="auto" w:before="0" w:after="0"/>
        <w:ind w:left="1828" w:right="0" w:hanging="508"/>
        <w:jc w:val="left"/>
        <w:rPr>
          <w:b/>
          <w:color w:val="2F2F2F"/>
          <w:sz w:val="18"/>
        </w:rPr>
      </w:pPr>
      <w:r>
        <w:rPr>
          <w:b/>
          <w:color w:val="2F2F2F"/>
          <w:sz w:val="18"/>
        </w:rPr>
        <w:t>Financing</w:t>
      </w:r>
      <w:r>
        <w:rPr>
          <w:b/>
          <w:color w:val="2F2F2F"/>
          <w:spacing w:val="15"/>
          <w:sz w:val="18"/>
        </w:rPr>
        <w:t> </w:t>
      </w:r>
      <w:r>
        <w:rPr>
          <w:b/>
          <w:color w:val="2F2F2F"/>
          <w:sz w:val="18"/>
        </w:rPr>
        <w:t>Faci</w:t>
      </w:r>
      <w:r>
        <w:rPr>
          <w:b/>
          <w:color w:val="111111"/>
          <w:sz w:val="18"/>
        </w:rPr>
        <w:t>l</w:t>
      </w:r>
      <w:r>
        <w:rPr>
          <w:b/>
          <w:color w:val="2F2F2F"/>
          <w:sz w:val="18"/>
        </w:rPr>
        <w:t>ities</w:t>
      </w:r>
    </w:p>
    <w:p>
      <w:pPr>
        <w:pStyle w:val="BodyText"/>
        <w:spacing w:before="6"/>
        <w:rPr>
          <w:b/>
          <w:sz w:val="22"/>
        </w:rPr>
      </w:pPr>
    </w:p>
    <w:p>
      <w:pPr>
        <w:spacing w:before="1"/>
        <w:ind w:left="1827" w:right="0" w:firstLine="0"/>
        <w:jc w:val="left"/>
        <w:rPr>
          <w:sz w:val="18"/>
        </w:rPr>
      </w:pPr>
      <w:r>
        <w:rPr>
          <w:color w:val="2F2F2F"/>
          <w:sz w:val="18"/>
        </w:rPr>
        <w:t>No facilities  are </w:t>
      </w:r>
      <w:r>
        <w:rPr>
          <w:color w:val="414141"/>
          <w:sz w:val="18"/>
        </w:rPr>
        <w:t>in </w:t>
      </w:r>
      <w:r>
        <w:rPr>
          <w:color w:val="2F2F2F"/>
          <w:sz w:val="18"/>
        </w:rPr>
        <w:t>place </w:t>
      </w:r>
      <w:r>
        <w:rPr>
          <w:color w:val="414141"/>
          <w:sz w:val="18"/>
        </w:rPr>
        <w:t>as </w:t>
      </w:r>
      <w:r>
        <w:rPr>
          <w:color w:val="2F2F2F"/>
          <w:sz w:val="18"/>
        </w:rPr>
        <w:t>at 30 June 2011</w:t>
      </w:r>
    </w:p>
    <w:p>
      <w:pPr>
        <w:tabs>
          <w:tab w:pos="1771" w:val="left" w:leader="none"/>
          <w:tab w:pos="2997" w:val="left" w:leader="none"/>
        </w:tabs>
        <w:spacing w:before="24"/>
        <w:ind w:left="1320" w:right="0" w:firstLine="0"/>
        <w:jc w:val="left"/>
        <w:rPr>
          <w:sz w:val="18"/>
        </w:rPr>
      </w:pPr>
      <w:r>
        <w:rPr/>
        <w:br w:type="column"/>
      </w:r>
      <w:r>
        <w:rPr>
          <w:color w:val="414141"/>
          <w:w w:val="100"/>
          <w:sz w:val="18"/>
          <w:u w:val="single" w:color="000000"/>
        </w:rPr>
        <w:t> </w:t>
      </w:r>
      <w:r>
        <w:rPr>
          <w:color w:val="414141"/>
          <w:sz w:val="18"/>
          <w:u w:val="single" w:color="000000"/>
        </w:rPr>
        <w:tab/>
      </w:r>
      <w:r>
        <w:rPr>
          <w:color w:val="414141"/>
          <w:w w:val="105"/>
          <w:sz w:val="18"/>
          <w:u w:val="single" w:color="000000"/>
        </w:rPr>
        <w:t>122,745</w:t>
        <w:tab/>
      </w:r>
      <w:r>
        <w:rPr>
          <w:color w:val="2F2F2F"/>
          <w:w w:val="105"/>
          <w:sz w:val="18"/>
          <w:u w:val="single" w:color="000000"/>
        </w:rPr>
        <w:t>116,819</w:t>
      </w:r>
      <w:r>
        <w:rPr>
          <w:color w:val="2F2F2F"/>
          <w:spacing w:val="11"/>
          <w:sz w:val="18"/>
          <w:u w:val="single" w:color="000000"/>
        </w:rPr>
        <w:t> </w:t>
      </w:r>
    </w:p>
    <w:p>
      <w:pPr>
        <w:tabs>
          <w:tab w:pos="1788" w:val="left" w:leader="none"/>
          <w:tab w:pos="3001" w:val="left" w:leader="none"/>
        </w:tabs>
        <w:spacing w:before="29"/>
        <w:ind w:left="1320" w:right="0" w:firstLine="0"/>
        <w:jc w:val="left"/>
        <w:rPr>
          <w:sz w:val="18"/>
        </w:rPr>
      </w:pPr>
      <w:r>
        <w:rPr>
          <w:color w:val="2F2F2F"/>
          <w:w w:val="100"/>
          <w:sz w:val="18"/>
          <w:u w:val="thick" w:color="000000"/>
        </w:rPr>
        <w:t> </w:t>
      </w:r>
      <w:r>
        <w:rPr>
          <w:color w:val="2F2F2F"/>
          <w:sz w:val="18"/>
          <w:u w:val="thick" w:color="000000"/>
        </w:rPr>
        <w:tab/>
        <w:t>335,105</w:t>
        <w:tab/>
        <w:t>297,813</w:t>
      </w:r>
      <w:r>
        <w:rPr>
          <w:color w:val="2F2F2F"/>
          <w:spacing w:val="0"/>
          <w:sz w:val="18"/>
          <w:u w:val="thick" w:color="000000"/>
        </w:rPr>
        <w:t> </w:t>
      </w:r>
    </w:p>
    <w:p>
      <w:pPr>
        <w:spacing w:after="0"/>
        <w:jc w:val="left"/>
        <w:rPr>
          <w:sz w:val="18"/>
        </w:rPr>
        <w:sectPr>
          <w:type w:val="continuous"/>
          <w:pgSz w:w="11910" w:h="16840"/>
          <w:pgMar w:top="1580" w:bottom="280" w:left="480" w:right="380"/>
          <w:cols w:num="2" w:equalWidth="0">
            <w:col w:w="5443" w:space="1101"/>
            <w:col w:w="4506"/>
          </w:cols>
        </w:sectPr>
      </w:pPr>
    </w:p>
    <w:p>
      <w:pPr>
        <w:pStyle w:val="BodyText"/>
        <w:rPr>
          <w:sz w:val="20"/>
        </w:rPr>
      </w:pPr>
    </w:p>
    <w:p>
      <w:pPr>
        <w:pStyle w:val="BodyText"/>
        <w:rPr>
          <w:sz w:val="20"/>
        </w:rPr>
      </w:pPr>
    </w:p>
    <w:p>
      <w:pPr>
        <w:pStyle w:val="BodyText"/>
        <w:spacing w:before="6"/>
        <w:rPr>
          <w:sz w:val="21"/>
        </w:rPr>
      </w:pPr>
    </w:p>
    <w:p>
      <w:pPr>
        <w:pStyle w:val="ListParagraph"/>
        <w:numPr>
          <w:ilvl w:val="0"/>
          <w:numId w:val="6"/>
        </w:numPr>
        <w:tabs>
          <w:tab w:pos="1828" w:val="left" w:leader="none"/>
          <w:tab w:pos="1829" w:val="left" w:leader="none"/>
          <w:tab w:pos="8267" w:val="left" w:leader="none"/>
          <w:tab w:pos="9459" w:val="left" w:leader="none"/>
        </w:tabs>
        <w:spacing w:line="233" w:lineRule="exact" w:before="0" w:after="0"/>
        <w:ind w:left="1828" w:right="0" w:hanging="504"/>
        <w:jc w:val="left"/>
        <w:rPr>
          <w:color w:val="414141"/>
          <w:sz w:val="19"/>
        </w:rPr>
      </w:pPr>
      <w:r>
        <w:rPr>
          <w:b/>
          <w:color w:val="2F2F2F"/>
          <w:w w:val="105"/>
          <w:sz w:val="18"/>
        </w:rPr>
        <w:t>Reconciliation</w:t>
      </w:r>
      <w:r>
        <w:rPr>
          <w:b/>
          <w:color w:val="2F2F2F"/>
          <w:spacing w:val="-25"/>
          <w:w w:val="105"/>
          <w:sz w:val="18"/>
        </w:rPr>
        <w:t> </w:t>
      </w:r>
      <w:r>
        <w:rPr>
          <w:b/>
          <w:color w:val="2F2F2F"/>
          <w:w w:val="105"/>
          <w:sz w:val="18"/>
        </w:rPr>
        <w:t>of</w:t>
      </w:r>
      <w:r>
        <w:rPr>
          <w:b/>
          <w:color w:val="2F2F2F"/>
          <w:spacing w:val="-23"/>
          <w:w w:val="105"/>
          <w:sz w:val="18"/>
        </w:rPr>
        <w:t> </w:t>
      </w:r>
      <w:r>
        <w:rPr>
          <w:b/>
          <w:color w:val="2F2F2F"/>
          <w:w w:val="105"/>
          <w:sz w:val="18"/>
        </w:rPr>
        <w:t>net</w:t>
      </w:r>
      <w:r>
        <w:rPr>
          <w:b/>
          <w:color w:val="2F2F2F"/>
          <w:spacing w:val="-23"/>
          <w:w w:val="105"/>
          <w:sz w:val="18"/>
        </w:rPr>
        <w:t> </w:t>
      </w:r>
      <w:r>
        <w:rPr>
          <w:b/>
          <w:color w:val="2F2F2F"/>
          <w:w w:val="105"/>
          <w:sz w:val="18"/>
        </w:rPr>
        <w:t>cash</w:t>
      </w:r>
      <w:r>
        <w:rPr>
          <w:b/>
          <w:color w:val="2F2F2F"/>
          <w:spacing w:val="-23"/>
          <w:w w:val="105"/>
          <w:sz w:val="18"/>
        </w:rPr>
        <w:t> </w:t>
      </w:r>
      <w:r>
        <w:rPr>
          <w:b/>
          <w:color w:val="2F2F2F"/>
          <w:w w:val="105"/>
          <w:sz w:val="18"/>
        </w:rPr>
        <w:t>provided</w:t>
      </w:r>
      <w:r>
        <w:rPr>
          <w:b/>
          <w:color w:val="2F2F2F"/>
          <w:spacing w:val="-16"/>
          <w:w w:val="105"/>
          <w:sz w:val="18"/>
        </w:rPr>
        <w:t> </w:t>
      </w:r>
      <w:r>
        <w:rPr>
          <w:rFonts w:ascii="Times New Roman"/>
          <w:b/>
          <w:color w:val="2F2F2F"/>
          <w:w w:val="105"/>
          <w:sz w:val="21"/>
        </w:rPr>
        <w:t>by</w:t>
      </w:r>
      <w:r>
        <w:rPr>
          <w:rFonts w:ascii="Times New Roman"/>
          <w:b/>
          <w:color w:val="2F2F2F"/>
          <w:spacing w:val="-28"/>
          <w:w w:val="105"/>
          <w:sz w:val="21"/>
        </w:rPr>
        <w:t> </w:t>
      </w:r>
      <w:r>
        <w:rPr>
          <w:b/>
          <w:color w:val="2F2F2F"/>
          <w:w w:val="105"/>
          <w:sz w:val="18"/>
        </w:rPr>
        <w:t>operating</w:t>
        <w:tab/>
      </w:r>
      <w:r>
        <w:rPr>
          <w:color w:val="2F2F2F"/>
          <w:w w:val="105"/>
          <w:sz w:val="18"/>
          <w:u w:val="thick" w:color="2F2F2F"/>
        </w:rPr>
        <w:t>2011</w:t>
      </w:r>
      <w:r>
        <w:rPr>
          <w:color w:val="2F2F2F"/>
          <w:w w:val="105"/>
          <w:sz w:val="18"/>
        </w:rPr>
        <w:tab/>
      </w:r>
      <w:r>
        <w:rPr>
          <w:color w:val="2F2F2F"/>
          <w:w w:val="105"/>
          <w:sz w:val="18"/>
          <w:u w:val="thick" w:color="2F2F2F"/>
        </w:rPr>
        <w:t>2010</w:t>
      </w:r>
    </w:p>
    <w:p>
      <w:pPr>
        <w:tabs>
          <w:tab w:pos="8418" w:val="left" w:leader="none"/>
          <w:tab w:pos="9717" w:val="right" w:leader="none"/>
        </w:tabs>
        <w:spacing w:line="290" w:lineRule="exact" w:before="0"/>
        <w:ind w:left="1835" w:right="0" w:firstLine="0"/>
        <w:jc w:val="left"/>
        <w:rPr>
          <w:rFonts w:ascii="Times New Roman"/>
          <w:sz w:val="26"/>
        </w:rPr>
      </w:pPr>
      <w:r>
        <w:rPr>
          <w:b/>
          <w:color w:val="2F2F2F"/>
          <w:w w:val="105"/>
          <w:sz w:val="18"/>
        </w:rPr>
        <w:t>activities</w:t>
      </w:r>
      <w:r>
        <w:rPr>
          <w:b/>
          <w:color w:val="2F2F2F"/>
          <w:spacing w:val="-23"/>
          <w:w w:val="105"/>
          <w:sz w:val="18"/>
        </w:rPr>
        <w:t> </w:t>
      </w:r>
      <w:r>
        <w:rPr>
          <w:b/>
          <w:color w:val="2F2F2F"/>
          <w:w w:val="105"/>
          <w:sz w:val="18"/>
        </w:rPr>
        <w:t>to</w:t>
      </w:r>
      <w:r>
        <w:rPr>
          <w:b/>
          <w:color w:val="2F2F2F"/>
          <w:spacing w:val="-22"/>
          <w:w w:val="105"/>
          <w:sz w:val="18"/>
        </w:rPr>
        <w:t> </w:t>
      </w:r>
      <w:r>
        <w:rPr>
          <w:b/>
          <w:color w:val="2F2F2F"/>
          <w:w w:val="105"/>
          <w:sz w:val="18"/>
        </w:rPr>
        <w:t>operating</w:t>
      </w:r>
      <w:r>
        <w:rPr>
          <w:b/>
          <w:color w:val="2F2F2F"/>
          <w:spacing w:val="-9"/>
          <w:w w:val="105"/>
          <w:sz w:val="18"/>
        </w:rPr>
        <w:t> </w:t>
      </w:r>
      <w:r>
        <w:rPr>
          <w:b/>
          <w:color w:val="2F2F2F"/>
          <w:w w:val="105"/>
          <w:sz w:val="18"/>
        </w:rPr>
        <w:t>surplus.</w:t>
        <w:tab/>
      </w:r>
      <w:r>
        <w:rPr>
          <w:rFonts w:ascii="Times New Roman"/>
          <w:color w:val="2F2F2F"/>
          <w:w w:val="105"/>
          <w:position w:val="-2"/>
          <w:sz w:val="24"/>
        </w:rPr>
        <w:t>i</w:t>
      </w:r>
      <w:r>
        <w:rPr>
          <w:rFonts w:ascii="Times New Roman"/>
          <w:color w:val="414141"/>
          <w:w w:val="105"/>
          <w:position w:val="-3"/>
          <w:sz w:val="24"/>
        </w:rPr>
        <w:tab/>
      </w:r>
      <w:r>
        <w:rPr>
          <w:rFonts w:ascii="Times New Roman"/>
          <w:color w:val="414141"/>
          <w:w w:val="105"/>
          <w:position w:val="-3"/>
          <w:sz w:val="26"/>
        </w:rPr>
        <w:t>1</w:t>
      </w:r>
    </w:p>
    <w:p>
      <w:pPr>
        <w:tabs>
          <w:tab w:pos="8389" w:val="left" w:leader="none"/>
          <w:tab w:pos="9600" w:val="left" w:leader="none"/>
        </w:tabs>
        <w:spacing w:before="196"/>
        <w:ind w:left="1832" w:right="0" w:firstLine="0"/>
        <w:jc w:val="left"/>
        <w:rPr>
          <w:sz w:val="18"/>
        </w:rPr>
      </w:pPr>
      <w:r>
        <w:rPr>
          <w:color w:val="2F2F2F"/>
          <w:w w:val="105"/>
          <w:position w:val="1"/>
          <w:sz w:val="18"/>
        </w:rPr>
        <w:t>Operating</w:t>
      </w:r>
      <w:r>
        <w:rPr>
          <w:color w:val="2F2F2F"/>
          <w:spacing w:val="-15"/>
          <w:w w:val="105"/>
          <w:position w:val="1"/>
          <w:sz w:val="18"/>
        </w:rPr>
        <w:t> </w:t>
      </w:r>
      <w:r>
        <w:rPr>
          <w:color w:val="414141"/>
          <w:w w:val="105"/>
          <w:position w:val="1"/>
          <w:sz w:val="18"/>
        </w:rPr>
        <w:t>surplus/(deficit)</w:t>
        <w:tab/>
      </w:r>
      <w:r>
        <w:rPr>
          <w:color w:val="2F2F2F"/>
          <w:w w:val="105"/>
          <w:sz w:val="18"/>
        </w:rPr>
        <w:t>57,222</w:t>
        <w:tab/>
        <w:t>37,693</w:t>
      </w:r>
    </w:p>
    <w:p>
      <w:pPr>
        <w:pStyle w:val="BodyText"/>
        <w:spacing w:before="2"/>
        <w:rPr>
          <w:sz w:val="21"/>
        </w:rPr>
      </w:pPr>
    </w:p>
    <w:p>
      <w:pPr>
        <w:tabs>
          <w:tab w:pos="9805" w:val="left" w:leader="none"/>
        </w:tabs>
        <w:spacing w:before="1"/>
        <w:ind w:left="1837" w:right="0" w:firstLine="0"/>
        <w:jc w:val="left"/>
        <w:rPr>
          <w:sz w:val="18"/>
        </w:rPr>
      </w:pPr>
      <w:r>
        <w:rPr>
          <w:color w:val="2F2F2F"/>
          <w:position w:val="1"/>
          <w:sz w:val="18"/>
        </w:rPr>
        <w:t>Profit on disposal of</w:t>
      </w:r>
      <w:r>
        <w:rPr>
          <w:color w:val="2F2F2F"/>
          <w:spacing w:val="20"/>
          <w:position w:val="1"/>
          <w:sz w:val="18"/>
        </w:rPr>
        <w:t> </w:t>
      </w:r>
      <w:r>
        <w:rPr>
          <w:color w:val="2F2F2F"/>
          <w:position w:val="1"/>
          <w:sz w:val="18"/>
        </w:rPr>
        <w:t>non-current</w:t>
      </w:r>
      <w:r>
        <w:rPr>
          <w:color w:val="2F2F2F"/>
          <w:spacing w:val="16"/>
          <w:position w:val="1"/>
          <w:sz w:val="18"/>
        </w:rPr>
        <w:t> </w:t>
      </w:r>
      <w:r>
        <w:rPr>
          <w:color w:val="414141"/>
          <w:position w:val="1"/>
          <w:sz w:val="18"/>
        </w:rPr>
        <w:t>assets</w:t>
        <w:tab/>
      </w:r>
      <w:r>
        <w:rPr>
          <w:color w:val="2F2F2F"/>
          <w:sz w:val="18"/>
        </w:rPr>
        <w:t>{630)</w:t>
      </w:r>
    </w:p>
    <w:p>
      <w:pPr>
        <w:tabs>
          <w:tab w:pos="8397" w:val="left" w:leader="none"/>
          <w:tab w:pos="9706" w:val="left" w:leader="none"/>
        </w:tabs>
        <w:spacing w:line="261" w:lineRule="auto" w:before="23"/>
        <w:ind w:left="1837" w:right="872" w:hanging="1"/>
        <w:jc w:val="left"/>
        <w:rPr>
          <w:sz w:val="18"/>
        </w:rPr>
      </w:pPr>
      <w:r>
        <w:rPr>
          <w:color w:val="2F2F2F"/>
          <w:sz w:val="18"/>
        </w:rPr>
        <w:t>Depreciation and amortisation of</w:t>
      </w:r>
      <w:r>
        <w:rPr>
          <w:color w:val="2F2F2F"/>
          <w:spacing w:val="40"/>
          <w:sz w:val="18"/>
        </w:rPr>
        <w:t> </w:t>
      </w:r>
      <w:r>
        <w:rPr>
          <w:color w:val="2F2F2F"/>
          <w:sz w:val="18"/>
        </w:rPr>
        <w:t>non-current</w:t>
      </w:r>
      <w:r>
        <w:rPr>
          <w:color w:val="2F2F2F"/>
          <w:spacing w:val="18"/>
          <w:sz w:val="18"/>
        </w:rPr>
        <w:t> </w:t>
      </w:r>
      <w:r>
        <w:rPr>
          <w:color w:val="2F2F2F"/>
          <w:sz w:val="18"/>
        </w:rPr>
        <w:t>assets</w:t>
        <w:tab/>
      </w:r>
      <w:r>
        <w:rPr>
          <w:color w:val="414141"/>
          <w:sz w:val="18"/>
        </w:rPr>
        <w:t>11,595</w:t>
        <w:tab/>
      </w:r>
      <w:r>
        <w:rPr>
          <w:color w:val="2F2F2F"/>
          <w:sz w:val="18"/>
        </w:rPr>
        <w:t>9,609 Non operating</w:t>
      </w:r>
      <w:r>
        <w:rPr>
          <w:color w:val="2F2F2F"/>
          <w:spacing w:val="-8"/>
          <w:sz w:val="18"/>
        </w:rPr>
        <w:t> </w:t>
      </w:r>
      <w:r>
        <w:rPr>
          <w:color w:val="2F2F2F"/>
          <w:sz w:val="18"/>
        </w:rPr>
        <w:t>income</w:t>
      </w:r>
    </w:p>
    <w:p>
      <w:pPr>
        <w:spacing w:before="5"/>
        <w:ind w:left="1842" w:right="0" w:firstLine="0"/>
        <w:jc w:val="left"/>
        <w:rPr>
          <w:sz w:val="18"/>
        </w:rPr>
      </w:pPr>
      <w:r>
        <w:rPr>
          <w:color w:val="2F2F2F"/>
          <w:w w:val="105"/>
          <w:sz w:val="18"/>
        </w:rPr>
        <w:t>Changes in net </w:t>
      </w:r>
      <w:r>
        <w:rPr>
          <w:color w:val="414141"/>
          <w:w w:val="105"/>
          <w:sz w:val="18"/>
        </w:rPr>
        <w:t>assets and liabilities</w:t>
      </w:r>
    </w:p>
    <w:p>
      <w:pPr>
        <w:tabs>
          <w:tab w:pos="8505" w:val="left" w:leader="none"/>
          <w:tab w:pos="9655" w:val="left" w:leader="none"/>
        </w:tabs>
        <w:spacing w:before="34"/>
        <w:ind w:left="1885" w:right="0" w:firstLine="0"/>
        <w:jc w:val="left"/>
        <w:rPr>
          <w:sz w:val="18"/>
        </w:rPr>
      </w:pPr>
      <w:r>
        <w:rPr>
          <w:color w:val="2F2F2F"/>
          <w:w w:val="105"/>
          <w:sz w:val="18"/>
        </w:rPr>
        <w:t>Decrease/(fncrease</w:t>
      </w:r>
      <w:r>
        <w:rPr>
          <w:color w:val="2F2F2F"/>
          <w:spacing w:val="-22"/>
          <w:w w:val="105"/>
          <w:sz w:val="18"/>
        </w:rPr>
        <w:t> </w:t>
      </w:r>
      <w:r>
        <w:rPr>
          <w:color w:val="2F2F2F"/>
          <w:w w:val="105"/>
          <w:sz w:val="18"/>
        </w:rPr>
        <w:t>)</w:t>
      </w:r>
      <w:r>
        <w:rPr>
          <w:color w:val="2F2F2F"/>
          <w:spacing w:val="-15"/>
          <w:w w:val="105"/>
          <w:sz w:val="18"/>
        </w:rPr>
        <w:t> </w:t>
      </w:r>
      <w:r>
        <w:rPr>
          <w:color w:val="2F2F2F"/>
          <w:w w:val="105"/>
          <w:sz w:val="18"/>
        </w:rPr>
        <w:t>in</w:t>
      </w:r>
      <w:r>
        <w:rPr>
          <w:color w:val="2F2F2F"/>
          <w:spacing w:val="-28"/>
          <w:w w:val="105"/>
          <w:sz w:val="18"/>
        </w:rPr>
        <w:t> </w:t>
      </w:r>
      <w:r>
        <w:rPr>
          <w:color w:val="2F2F2F"/>
          <w:w w:val="105"/>
          <w:sz w:val="18"/>
        </w:rPr>
        <w:t>current</w:t>
      </w:r>
      <w:r>
        <w:rPr>
          <w:color w:val="2F2F2F"/>
          <w:spacing w:val="-15"/>
          <w:w w:val="105"/>
          <w:sz w:val="18"/>
        </w:rPr>
        <w:t> </w:t>
      </w:r>
      <w:r>
        <w:rPr>
          <w:color w:val="414141"/>
          <w:w w:val="105"/>
          <w:sz w:val="18"/>
        </w:rPr>
        <w:t>receivables</w:t>
        <w:tab/>
      </w:r>
      <w:r>
        <w:rPr>
          <w:color w:val="2F2F2F"/>
          <w:w w:val="105"/>
          <w:sz w:val="18"/>
        </w:rPr>
        <w:t>8,346</w:t>
        <w:tab/>
        <w:t>(6,139}</w:t>
      </w:r>
    </w:p>
    <w:p>
      <w:pPr>
        <w:tabs>
          <w:tab w:pos="8645" w:val="left" w:leader="none"/>
          <w:tab w:pos="9554" w:val="left" w:leader="none"/>
        </w:tabs>
        <w:spacing w:before="28"/>
        <w:ind w:left="1892" w:right="0" w:firstLine="0"/>
        <w:jc w:val="left"/>
        <w:rPr>
          <w:sz w:val="18"/>
        </w:rPr>
      </w:pPr>
      <w:r>
        <w:rPr>
          <w:color w:val="2F2F2F"/>
          <w:sz w:val="18"/>
        </w:rPr>
        <w:t>Increase/ (decrease)  </w:t>
      </w:r>
      <w:r>
        <w:rPr>
          <w:color w:val="414141"/>
          <w:sz w:val="18"/>
        </w:rPr>
        <w:t>in</w:t>
      </w:r>
      <w:r>
        <w:rPr>
          <w:color w:val="414141"/>
          <w:spacing w:val="13"/>
          <w:sz w:val="18"/>
        </w:rPr>
        <w:t> </w:t>
      </w:r>
      <w:r>
        <w:rPr>
          <w:color w:val="2F2F2F"/>
          <w:sz w:val="18"/>
        </w:rPr>
        <w:t>current</w:t>
      </w:r>
      <w:r>
        <w:rPr>
          <w:color w:val="2F2F2F"/>
          <w:spacing w:val="3"/>
          <w:sz w:val="18"/>
        </w:rPr>
        <w:t> </w:t>
      </w:r>
      <w:r>
        <w:rPr>
          <w:color w:val="2F2F2F"/>
          <w:sz w:val="18"/>
        </w:rPr>
        <w:t>creditors</w:t>
        <w:tab/>
      </w:r>
      <w:r>
        <w:rPr>
          <w:rFonts w:ascii="Courier New"/>
          <w:color w:val="2F2F2F"/>
          <w:sz w:val="20"/>
        </w:rPr>
        <w:t>408</w:t>
        <w:tab/>
      </w:r>
      <w:r>
        <w:rPr>
          <w:color w:val="2F2F2F"/>
          <w:sz w:val="18"/>
        </w:rPr>
        <w:t>(23,739)</w:t>
      </w:r>
    </w:p>
    <w:p>
      <w:pPr>
        <w:tabs>
          <w:tab w:pos="8401" w:val="left" w:leader="none"/>
          <w:tab w:pos="9655" w:val="left" w:leader="none"/>
        </w:tabs>
        <w:spacing w:before="7"/>
        <w:ind w:left="1892" w:right="0" w:firstLine="0"/>
        <w:jc w:val="left"/>
        <w:rPr>
          <w:sz w:val="18"/>
        </w:rPr>
      </w:pPr>
      <w:r>
        <w:rPr>
          <w:color w:val="2F2F2F"/>
          <w:sz w:val="18"/>
        </w:rPr>
        <w:t>Increase/ (decrease}  in</w:t>
      </w:r>
      <w:r>
        <w:rPr>
          <w:color w:val="2F2F2F"/>
          <w:spacing w:val="-11"/>
          <w:sz w:val="18"/>
        </w:rPr>
        <w:t> </w:t>
      </w:r>
      <w:r>
        <w:rPr>
          <w:color w:val="2F2F2F"/>
          <w:sz w:val="18"/>
        </w:rPr>
        <w:t>curtent</w:t>
      </w:r>
      <w:r>
        <w:rPr>
          <w:color w:val="2F2F2F"/>
          <w:spacing w:val="8"/>
          <w:sz w:val="18"/>
        </w:rPr>
        <w:t> </w:t>
      </w:r>
      <w:r>
        <w:rPr>
          <w:color w:val="2F2F2F"/>
          <w:sz w:val="18"/>
        </w:rPr>
        <w:t>provisions</w:t>
        <w:tab/>
      </w:r>
      <w:r>
        <w:rPr>
          <w:color w:val="414141"/>
          <w:sz w:val="18"/>
        </w:rPr>
        <w:t>18,815</w:t>
        <w:tab/>
      </w:r>
      <w:r>
        <w:rPr>
          <w:color w:val="2F2F2F"/>
          <w:sz w:val="18"/>
        </w:rPr>
        <w:t>(3,270)</w:t>
      </w:r>
    </w:p>
    <w:p>
      <w:pPr>
        <w:tabs>
          <w:tab w:pos="7171" w:val="left" w:leader="none"/>
          <w:tab w:pos="8347" w:val="left" w:leader="none"/>
          <w:tab w:pos="8409" w:val="left" w:leader="none"/>
          <w:tab w:pos="9559" w:val="left" w:leader="none"/>
          <w:tab w:pos="9818" w:val="left" w:leader="none"/>
        </w:tabs>
        <w:spacing w:line="540" w:lineRule="auto" w:before="28"/>
        <w:ind w:left="1847" w:right="787" w:hanging="4"/>
        <w:jc w:val="left"/>
        <w:rPr>
          <w:sz w:val="18"/>
        </w:rPr>
      </w:pPr>
      <w:r>
        <w:rPr/>
        <w:pict>
          <v:group style="position:absolute;margin-left:382.590454pt;margin-top:23.29648pt;width:154.050pt;height:1pt;mso-position-horizontal-relative:page;mso-position-vertical-relative:paragraph;z-index:-63400" coordorigin="7652,466" coordsize="3081,20">
            <v:line style="position:absolute" from="7652,476" to="9723,476" stroked="true" strokeweight=".48053pt" strokecolor="#000000">
              <v:stroke dashstyle="solid"/>
            </v:line>
            <v:line style="position:absolute" from="9723,476" to="10733,476" stroked="true" strokeweight=".96106pt" strokecolor="#000000">
              <v:stroke dashstyle="solid"/>
            </v:line>
            <w10:wrap type="none"/>
          </v:group>
        </w:pict>
      </w:r>
      <w:r>
        <w:rPr>
          <w:color w:val="2F2F2F"/>
          <w:sz w:val="18"/>
        </w:rPr>
        <w:t>Increase </w:t>
      </w:r>
      <w:r>
        <w:rPr>
          <w:color w:val="414141"/>
          <w:sz w:val="18"/>
        </w:rPr>
        <w:t>/(decrease)  in income</w:t>
      </w:r>
      <w:r>
        <w:rPr>
          <w:color w:val="414141"/>
          <w:spacing w:val="-11"/>
          <w:sz w:val="18"/>
        </w:rPr>
        <w:t> </w:t>
      </w:r>
      <w:r>
        <w:rPr>
          <w:color w:val="2F2F2F"/>
          <w:sz w:val="18"/>
        </w:rPr>
        <w:t>in </w:t>
      </w:r>
      <w:r>
        <w:rPr>
          <w:color w:val="414141"/>
          <w:sz w:val="18"/>
        </w:rPr>
        <w:t>advance</w:t>
        <w:tab/>
        <w:tab/>
      </w:r>
      <w:r>
        <w:rPr>
          <w:color w:val="2F2F2F"/>
          <w:sz w:val="18"/>
        </w:rPr>
        <w:t>(43,925)</w:t>
        <w:tab/>
        <w:t>(14,462) Net Cash provided by/(used </w:t>
      </w:r>
      <w:r>
        <w:rPr>
          <w:color w:val="414141"/>
          <w:sz w:val="18"/>
        </w:rPr>
        <w:t>in)</w:t>
      </w:r>
      <w:r>
        <w:rPr>
          <w:color w:val="414141"/>
          <w:spacing w:val="26"/>
          <w:sz w:val="18"/>
        </w:rPr>
        <w:t> </w:t>
      </w:r>
      <w:r>
        <w:rPr>
          <w:color w:val="2F2F2F"/>
          <w:sz w:val="18"/>
        </w:rPr>
        <w:t>operating</w:t>
      </w:r>
      <w:r>
        <w:rPr>
          <w:color w:val="2F2F2F"/>
          <w:spacing w:val="17"/>
          <w:sz w:val="18"/>
        </w:rPr>
        <w:t> </w:t>
      </w:r>
      <w:r>
        <w:rPr>
          <w:color w:val="414141"/>
          <w:sz w:val="18"/>
        </w:rPr>
        <w:t>activities</w:t>
        <w:tab/>
      </w:r>
      <w:r>
        <w:rPr>
          <w:color w:val="2F2F2F"/>
          <w:position w:val="1"/>
          <w:sz w:val="18"/>
          <w:u w:val="single" w:color="000000"/>
        </w:rPr>
        <w:t> </w:t>
        <w:tab/>
        <w:tab/>
        <w:t>52,462</w:t>
        <w:tab/>
        <w:tab/>
      </w:r>
      <w:r>
        <w:rPr>
          <w:color w:val="2F2F2F"/>
          <w:sz w:val="18"/>
          <w:u w:val="single" w:color="000000"/>
        </w:rPr>
        <w:t>(938}</w:t>
      </w:r>
    </w:p>
    <w:p>
      <w:pPr>
        <w:spacing w:after="0" w:line="540" w:lineRule="auto"/>
        <w:jc w:val="left"/>
        <w:rPr>
          <w:sz w:val="18"/>
        </w:rPr>
        <w:sectPr>
          <w:type w:val="continuous"/>
          <w:pgSz w:w="11910" w:h="16840"/>
          <w:pgMar w:top="1580" w:bottom="280" w:left="480" w:right="380"/>
        </w:sect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95"/>
        <w:ind w:left="4779" w:right="0" w:firstLine="0"/>
        <w:jc w:val="left"/>
        <w:rPr>
          <w:b/>
          <w:sz w:val="18"/>
        </w:rPr>
      </w:pPr>
      <w:r>
        <w:rPr>
          <w:b/>
          <w:color w:val="1C1C1C"/>
          <w:sz w:val="18"/>
          <w:u w:val="thick" w:color="1C1C1C"/>
        </w:rPr>
        <w:t>PEOPLE </w:t>
      </w:r>
      <w:r>
        <w:rPr>
          <w:b/>
          <w:color w:val="2A2A2A"/>
          <w:sz w:val="18"/>
          <w:u w:val="thick" w:color="1C1C1C"/>
        </w:rPr>
        <w:t>WITH </w:t>
      </w:r>
      <w:r>
        <w:rPr>
          <w:b/>
          <w:color w:val="1C1C1C"/>
          <w:sz w:val="18"/>
          <w:u w:val="thick" w:color="1C1C1C"/>
        </w:rPr>
        <w:t>DISABILITIES </w:t>
      </w:r>
      <w:r>
        <w:rPr>
          <w:b/>
          <w:color w:val="2A2A2A"/>
          <w:sz w:val="18"/>
          <w:u w:val="thick" w:color="1C1C1C"/>
        </w:rPr>
        <w:t>(WA) </w:t>
      </w:r>
      <w:r>
        <w:rPr>
          <w:b/>
          <w:color w:val="1C1C1C"/>
          <w:sz w:val="18"/>
          <w:u w:val="thick" w:color="1C1C1C"/>
        </w:rPr>
        <w:t>INC</w:t>
      </w:r>
    </w:p>
    <w:p>
      <w:pPr>
        <w:pStyle w:val="BodyText"/>
        <w:spacing w:before="1"/>
        <w:rPr>
          <w:b/>
          <w:sz w:val="15"/>
        </w:rPr>
      </w:pPr>
    </w:p>
    <w:p>
      <w:pPr>
        <w:spacing w:line="273" w:lineRule="auto" w:before="95"/>
        <w:ind w:left="5087" w:right="2763" w:hanging="462"/>
        <w:jc w:val="left"/>
        <w:rPr>
          <w:b/>
          <w:sz w:val="18"/>
        </w:rPr>
      </w:pPr>
      <w:r>
        <w:rPr>
          <w:b/>
          <w:color w:val="1C1C1C"/>
          <w:sz w:val="18"/>
          <w:u w:val="thick" w:color="1C1C1C"/>
        </w:rPr>
        <w:t>Notes to and forming part of </w:t>
      </w:r>
      <w:r>
        <w:rPr>
          <w:b/>
          <w:color w:val="2A2A2A"/>
          <w:sz w:val="18"/>
          <w:u w:val="thick" w:color="1C1C1C"/>
        </w:rPr>
        <w:t>the </w:t>
      </w:r>
      <w:r>
        <w:rPr>
          <w:b/>
          <w:color w:val="1C1C1C"/>
          <w:sz w:val="18"/>
          <w:u w:val="thick" w:color="1C1C1C"/>
        </w:rPr>
        <w:t>accounts</w:t>
      </w:r>
      <w:r>
        <w:rPr>
          <w:b/>
          <w:color w:val="1C1C1C"/>
          <w:sz w:val="18"/>
        </w:rPr>
        <w:t> </w:t>
      </w:r>
      <w:r>
        <w:rPr>
          <w:b/>
          <w:color w:val="1C1C1C"/>
          <w:sz w:val="18"/>
          <w:u w:val="thick" w:color="1C1C1C"/>
        </w:rPr>
        <w:t>For the year ended 30/06/2011</w:t>
      </w:r>
    </w:p>
    <w:p>
      <w:pPr>
        <w:pStyle w:val="BodyText"/>
        <w:rPr>
          <w:b/>
          <w:sz w:val="20"/>
        </w:rPr>
      </w:pPr>
    </w:p>
    <w:p>
      <w:pPr>
        <w:pStyle w:val="BodyText"/>
        <w:spacing w:before="10"/>
        <w:rPr>
          <w:b/>
          <w:sz w:val="20"/>
        </w:rPr>
      </w:pPr>
    </w:p>
    <w:p>
      <w:pPr>
        <w:tabs>
          <w:tab w:pos="5036" w:val="left" w:leader="none"/>
        </w:tabs>
        <w:spacing w:before="0"/>
        <w:ind w:left="2240" w:right="0" w:firstLine="0"/>
        <w:jc w:val="left"/>
        <w:rPr>
          <w:b/>
          <w:sz w:val="18"/>
        </w:rPr>
      </w:pPr>
      <w:r>
        <w:rPr>
          <w:b/>
          <w:color w:val="1C1C1C"/>
          <w:sz w:val="18"/>
        </w:rPr>
        <w:t>1</w:t>
        <w:tab/>
        <w:t>Summary of Accounting</w:t>
      </w:r>
      <w:r>
        <w:rPr>
          <w:b/>
          <w:color w:val="1C1C1C"/>
          <w:spacing w:val="-18"/>
          <w:sz w:val="18"/>
        </w:rPr>
        <w:t> </w:t>
      </w:r>
      <w:r>
        <w:rPr>
          <w:b/>
          <w:color w:val="2A2A2A"/>
          <w:sz w:val="18"/>
        </w:rPr>
        <w:t>Policies</w:t>
      </w:r>
    </w:p>
    <w:p>
      <w:pPr>
        <w:pStyle w:val="BodyText"/>
        <w:spacing w:before="10"/>
        <w:rPr>
          <w:b/>
          <w:sz w:val="25"/>
        </w:rPr>
      </w:pPr>
    </w:p>
    <w:p>
      <w:pPr>
        <w:spacing w:line="273" w:lineRule="auto" w:before="0"/>
        <w:ind w:left="2536" w:right="832" w:hanging="2"/>
        <w:jc w:val="left"/>
        <w:rPr>
          <w:sz w:val="18"/>
        </w:rPr>
      </w:pPr>
      <w:r>
        <w:rPr>
          <w:color w:val="2A2A2A"/>
          <w:sz w:val="18"/>
        </w:rPr>
        <w:t>The principal accounting policies of </w:t>
      </w:r>
      <w:r>
        <w:rPr>
          <w:color w:val="3B3B3B"/>
          <w:sz w:val="18"/>
        </w:rPr>
        <w:t>the </w:t>
      </w:r>
      <w:r>
        <w:rPr>
          <w:color w:val="2A2A2A"/>
          <w:sz w:val="18"/>
        </w:rPr>
        <w:t>Association, wh</w:t>
      </w:r>
      <w:r>
        <w:rPr>
          <w:color w:val="545454"/>
          <w:sz w:val="18"/>
        </w:rPr>
        <w:t>t</w:t>
      </w:r>
      <w:r>
        <w:rPr>
          <w:color w:val="2A2A2A"/>
          <w:sz w:val="18"/>
        </w:rPr>
        <w:t>ch are set out below</w:t>
      </w:r>
      <w:r>
        <w:rPr>
          <w:color w:val="545454"/>
          <w:sz w:val="18"/>
        </w:rPr>
        <w:t>, </w:t>
      </w:r>
      <w:r>
        <w:rPr>
          <w:color w:val="2A2A2A"/>
          <w:sz w:val="18"/>
        </w:rPr>
        <w:t>have been consistently followed in all </w:t>
      </w:r>
      <w:r>
        <w:rPr>
          <w:color w:val="3B3B3B"/>
          <w:sz w:val="18"/>
        </w:rPr>
        <w:t>material </w:t>
      </w:r>
      <w:r>
        <w:rPr>
          <w:color w:val="2A2A2A"/>
          <w:sz w:val="18"/>
        </w:rPr>
        <w:t>aspects.</w:t>
      </w:r>
    </w:p>
    <w:p>
      <w:pPr>
        <w:pStyle w:val="BodyText"/>
        <w:spacing w:before="11"/>
        <w:rPr>
          <w:sz w:val="19"/>
        </w:rPr>
      </w:pPr>
    </w:p>
    <w:p>
      <w:pPr>
        <w:pStyle w:val="ListParagraph"/>
        <w:numPr>
          <w:ilvl w:val="0"/>
          <w:numId w:val="7"/>
        </w:numPr>
        <w:tabs>
          <w:tab w:pos="2540" w:val="left" w:leader="none"/>
        </w:tabs>
        <w:spacing w:line="240" w:lineRule="auto" w:before="0" w:after="0"/>
        <w:ind w:left="2547" w:right="0" w:hanging="294"/>
        <w:jc w:val="left"/>
        <w:rPr>
          <w:color w:val="2A2A2A"/>
          <w:sz w:val="18"/>
        </w:rPr>
      </w:pPr>
      <w:r>
        <w:rPr>
          <w:color w:val="2A2A2A"/>
          <w:w w:val="105"/>
          <w:sz w:val="18"/>
        </w:rPr>
        <w:t>The</w:t>
      </w:r>
      <w:r>
        <w:rPr>
          <w:color w:val="2A2A2A"/>
          <w:spacing w:val="-4"/>
          <w:w w:val="105"/>
          <w:sz w:val="18"/>
        </w:rPr>
        <w:t> </w:t>
      </w:r>
      <w:r>
        <w:rPr>
          <w:color w:val="2A2A2A"/>
          <w:w w:val="105"/>
          <w:sz w:val="18"/>
        </w:rPr>
        <w:t>accounts</w:t>
      </w:r>
      <w:r>
        <w:rPr>
          <w:color w:val="2A2A2A"/>
          <w:spacing w:val="-2"/>
          <w:w w:val="105"/>
          <w:sz w:val="18"/>
        </w:rPr>
        <w:t> </w:t>
      </w:r>
      <w:r>
        <w:rPr>
          <w:color w:val="2A2A2A"/>
          <w:w w:val="105"/>
          <w:sz w:val="18"/>
        </w:rPr>
        <w:t>ate</w:t>
      </w:r>
      <w:r>
        <w:rPr>
          <w:color w:val="2A2A2A"/>
          <w:spacing w:val="-11"/>
          <w:w w:val="105"/>
          <w:sz w:val="18"/>
        </w:rPr>
        <w:t> </w:t>
      </w:r>
      <w:r>
        <w:rPr>
          <w:color w:val="2A2A2A"/>
          <w:w w:val="105"/>
          <w:sz w:val="18"/>
        </w:rPr>
        <w:t>prepared</w:t>
      </w:r>
      <w:r>
        <w:rPr>
          <w:color w:val="2A2A2A"/>
          <w:spacing w:val="-8"/>
          <w:w w:val="105"/>
          <w:sz w:val="18"/>
        </w:rPr>
        <w:t> </w:t>
      </w:r>
      <w:r>
        <w:rPr>
          <w:color w:val="3B3B3B"/>
          <w:w w:val="105"/>
          <w:sz w:val="18"/>
        </w:rPr>
        <w:t>in</w:t>
      </w:r>
      <w:r>
        <w:rPr>
          <w:color w:val="3B3B3B"/>
          <w:spacing w:val="-12"/>
          <w:w w:val="105"/>
          <w:sz w:val="18"/>
        </w:rPr>
        <w:t> </w:t>
      </w:r>
      <w:r>
        <w:rPr>
          <w:color w:val="2A2A2A"/>
          <w:w w:val="105"/>
          <w:sz w:val="18"/>
        </w:rPr>
        <w:t>accordance</w:t>
      </w:r>
      <w:r>
        <w:rPr>
          <w:color w:val="2A2A2A"/>
          <w:spacing w:val="6"/>
          <w:w w:val="105"/>
          <w:sz w:val="18"/>
        </w:rPr>
        <w:t> </w:t>
      </w:r>
      <w:r>
        <w:rPr>
          <w:color w:val="2A2A2A"/>
          <w:w w:val="105"/>
          <w:sz w:val="18"/>
        </w:rPr>
        <w:t>with</w:t>
      </w:r>
      <w:r>
        <w:rPr>
          <w:color w:val="2A2A2A"/>
          <w:spacing w:val="-5"/>
          <w:w w:val="105"/>
          <w:sz w:val="18"/>
        </w:rPr>
        <w:t> </w:t>
      </w:r>
      <w:r>
        <w:rPr>
          <w:color w:val="2A2A2A"/>
          <w:w w:val="105"/>
          <w:sz w:val="18"/>
        </w:rPr>
        <w:t>the</w:t>
      </w:r>
      <w:r>
        <w:rPr>
          <w:color w:val="2A2A2A"/>
          <w:spacing w:val="-12"/>
          <w:w w:val="105"/>
          <w:sz w:val="18"/>
        </w:rPr>
        <w:t> </w:t>
      </w:r>
      <w:r>
        <w:rPr>
          <w:color w:val="3B3B3B"/>
          <w:w w:val="105"/>
          <w:sz w:val="18"/>
        </w:rPr>
        <w:t>h</w:t>
      </w:r>
      <w:r>
        <w:rPr>
          <w:color w:val="1C1C1C"/>
          <w:w w:val="105"/>
          <w:sz w:val="18"/>
        </w:rPr>
        <w:t>isto</w:t>
      </w:r>
      <w:r>
        <w:rPr>
          <w:color w:val="3B3B3B"/>
          <w:w w:val="105"/>
          <w:sz w:val="18"/>
        </w:rPr>
        <w:t>rica</w:t>
      </w:r>
      <w:r>
        <w:rPr>
          <w:color w:val="1C1C1C"/>
          <w:w w:val="105"/>
          <w:sz w:val="18"/>
        </w:rPr>
        <w:t>l</w:t>
      </w:r>
      <w:r>
        <w:rPr>
          <w:color w:val="1C1C1C"/>
          <w:spacing w:val="-5"/>
          <w:w w:val="105"/>
          <w:sz w:val="18"/>
        </w:rPr>
        <w:t> </w:t>
      </w:r>
      <w:r>
        <w:rPr>
          <w:color w:val="2A2A2A"/>
          <w:w w:val="105"/>
          <w:sz w:val="18"/>
        </w:rPr>
        <w:t>cost</w:t>
      </w:r>
      <w:r>
        <w:rPr>
          <w:color w:val="2A2A2A"/>
          <w:spacing w:val="-11"/>
          <w:w w:val="105"/>
          <w:sz w:val="18"/>
        </w:rPr>
        <w:t> </w:t>
      </w:r>
      <w:r>
        <w:rPr>
          <w:color w:val="2A2A2A"/>
          <w:w w:val="105"/>
          <w:sz w:val="18"/>
        </w:rPr>
        <w:t>convention.</w:t>
      </w:r>
    </w:p>
    <w:p>
      <w:pPr>
        <w:pStyle w:val="BodyText"/>
        <w:spacing w:before="1"/>
        <w:rPr>
          <w:sz w:val="22"/>
        </w:rPr>
      </w:pPr>
    </w:p>
    <w:p>
      <w:pPr>
        <w:pStyle w:val="ListParagraph"/>
        <w:numPr>
          <w:ilvl w:val="0"/>
          <w:numId w:val="7"/>
        </w:numPr>
        <w:tabs>
          <w:tab w:pos="2540" w:val="left" w:leader="none"/>
        </w:tabs>
        <w:spacing w:line="266" w:lineRule="auto" w:before="0" w:after="0"/>
        <w:ind w:left="2547" w:right="1498" w:hanging="294"/>
        <w:jc w:val="left"/>
        <w:rPr>
          <w:color w:val="2A2A2A"/>
          <w:sz w:val="18"/>
        </w:rPr>
      </w:pPr>
      <w:r>
        <w:rPr>
          <w:color w:val="3B3B3B"/>
          <w:w w:val="105"/>
          <w:sz w:val="18"/>
        </w:rPr>
        <w:t>The </w:t>
      </w:r>
      <w:r>
        <w:rPr>
          <w:color w:val="2A2A2A"/>
          <w:w w:val="105"/>
          <w:sz w:val="18"/>
        </w:rPr>
        <w:t>provision for long service leave is calculated at current rates of pay for all staff from</w:t>
      </w:r>
      <w:r>
        <w:rPr>
          <w:color w:val="2A2A2A"/>
          <w:spacing w:val="-11"/>
          <w:w w:val="105"/>
          <w:sz w:val="18"/>
        </w:rPr>
        <w:t> </w:t>
      </w:r>
      <w:r>
        <w:rPr>
          <w:color w:val="2A2A2A"/>
          <w:w w:val="105"/>
          <w:sz w:val="18"/>
        </w:rPr>
        <w:t>their</w:t>
      </w:r>
      <w:r>
        <w:rPr>
          <w:color w:val="2A2A2A"/>
          <w:spacing w:val="-14"/>
          <w:w w:val="105"/>
          <w:sz w:val="18"/>
        </w:rPr>
        <w:t> </w:t>
      </w:r>
      <w:r>
        <w:rPr>
          <w:color w:val="2A2A2A"/>
          <w:w w:val="105"/>
          <w:sz w:val="18"/>
        </w:rPr>
        <w:t>date</w:t>
      </w:r>
      <w:r>
        <w:rPr>
          <w:color w:val="2A2A2A"/>
          <w:spacing w:val="-10"/>
          <w:w w:val="105"/>
          <w:sz w:val="18"/>
        </w:rPr>
        <w:t> </w:t>
      </w:r>
      <w:r>
        <w:rPr>
          <w:color w:val="2A2A2A"/>
          <w:w w:val="105"/>
          <w:sz w:val="18"/>
        </w:rPr>
        <w:t>of</w:t>
      </w:r>
      <w:r>
        <w:rPr>
          <w:color w:val="2A2A2A"/>
          <w:spacing w:val="-16"/>
          <w:w w:val="105"/>
          <w:sz w:val="18"/>
        </w:rPr>
        <w:t> </w:t>
      </w:r>
      <w:r>
        <w:rPr>
          <w:color w:val="2A2A2A"/>
          <w:w w:val="105"/>
          <w:sz w:val="18"/>
        </w:rPr>
        <w:t>commencement</w:t>
      </w:r>
      <w:r>
        <w:rPr>
          <w:color w:val="2A2A2A"/>
          <w:spacing w:val="6"/>
          <w:w w:val="105"/>
          <w:sz w:val="18"/>
        </w:rPr>
        <w:t> </w:t>
      </w:r>
      <w:r>
        <w:rPr>
          <w:color w:val="1C1C1C"/>
          <w:w w:val="105"/>
          <w:sz w:val="18"/>
        </w:rPr>
        <w:t>Long</w:t>
      </w:r>
      <w:r>
        <w:rPr>
          <w:color w:val="1C1C1C"/>
          <w:spacing w:val="-14"/>
          <w:w w:val="105"/>
          <w:sz w:val="18"/>
        </w:rPr>
        <w:t> </w:t>
      </w:r>
      <w:r>
        <w:rPr>
          <w:color w:val="2A2A2A"/>
          <w:w w:val="105"/>
          <w:sz w:val="18"/>
        </w:rPr>
        <w:t>service</w:t>
      </w:r>
      <w:r>
        <w:rPr>
          <w:color w:val="2A2A2A"/>
          <w:spacing w:val="-11"/>
          <w:w w:val="105"/>
          <w:sz w:val="18"/>
        </w:rPr>
        <w:t> </w:t>
      </w:r>
      <w:r>
        <w:rPr>
          <w:color w:val="2A2A2A"/>
          <w:w w:val="105"/>
          <w:sz w:val="18"/>
        </w:rPr>
        <w:t>leave</w:t>
      </w:r>
      <w:r>
        <w:rPr>
          <w:color w:val="2A2A2A"/>
          <w:spacing w:val="-9"/>
          <w:w w:val="105"/>
          <w:sz w:val="18"/>
        </w:rPr>
        <w:t> </w:t>
      </w:r>
      <w:r>
        <w:rPr>
          <w:color w:val="2A2A2A"/>
          <w:w w:val="105"/>
          <w:sz w:val="18"/>
        </w:rPr>
        <w:t>entitlement</w:t>
      </w:r>
      <w:r>
        <w:rPr>
          <w:color w:val="2A2A2A"/>
          <w:spacing w:val="-11"/>
          <w:w w:val="105"/>
          <w:sz w:val="18"/>
        </w:rPr>
        <w:t> </w:t>
      </w:r>
      <w:r>
        <w:rPr>
          <w:color w:val="2A2A2A"/>
          <w:w w:val="105"/>
          <w:sz w:val="18"/>
        </w:rPr>
        <w:t>is</w:t>
      </w:r>
      <w:r>
        <w:rPr>
          <w:color w:val="2A2A2A"/>
          <w:spacing w:val="-14"/>
          <w:w w:val="105"/>
          <w:sz w:val="18"/>
        </w:rPr>
        <w:t> </w:t>
      </w:r>
      <w:r>
        <w:rPr>
          <w:color w:val="2A2A2A"/>
          <w:w w:val="105"/>
          <w:sz w:val="18"/>
        </w:rPr>
        <w:t>due</w:t>
      </w:r>
      <w:r>
        <w:rPr>
          <w:color w:val="2A2A2A"/>
          <w:spacing w:val="-11"/>
          <w:w w:val="105"/>
          <w:sz w:val="18"/>
        </w:rPr>
        <w:t> </w:t>
      </w:r>
      <w:r>
        <w:rPr>
          <w:color w:val="2A2A2A"/>
          <w:w w:val="105"/>
          <w:sz w:val="18"/>
        </w:rPr>
        <w:t>after</w:t>
      </w:r>
      <w:r>
        <w:rPr>
          <w:color w:val="2A2A2A"/>
          <w:spacing w:val="-21"/>
          <w:w w:val="105"/>
          <w:sz w:val="18"/>
        </w:rPr>
        <w:t> </w:t>
      </w:r>
      <w:r>
        <w:rPr>
          <w:color w:val="2A2A2A"/>
          <w:w w:val="105"/>
          <w:sz w:val="18"/>
        </w:rPr>
        <w:t>7</w:t>
      </w:r>
      <w:r>
        <w:rPr>
          <w:color w:val="2A2A2A"/>
          <w:spacing w:val="-12"/>
          <w:w w:val="105"/>
          <w:sz w:val="18"/>
        </w:rPr>
        <w:t> </w:t>
      </w:r>
      <w:r>
        <w:rPr>
          <w:color w:val="2A2A2A"/>
          <w:w w:val="105"/>
          <w:sz w:val="18"/>
        </w:rPr>
        <w:t>years serv</w:t>
      </w:r>
      <w:r>
        <w:rPr>
          <w:color w:val="545454"/>
          <w:w w:val="105"/>
          <w:sz w:val="18"/>
        </w:rPr>
        <w:t>f</w:t>
      </w:r>
      <w:r>
        <w:rPr>
          <w:color w:val="1C1C1C"/>
          <w:w w:val="105"/>
          <w:sz w:val="18"/>
        </w:rPr>
        <w:t>ce </w:t>
      </w:r>
      <w:r>
        <w:rPr>
          <w:color w:val="2A2A2A"/>
          <w:w w:val="105"/>
          <w:sz w:val="18"/>
        </w:rPr>
        <w:t>for the </w:t>
      </w:r>
      <w:r>
        <w:rPr>
          <w:color w:val="3B3B3B"/>
          <w:w w:val="105"/>
          <w:sz w:val="18"/>
        </w:rPr>
        <w:t>first </w:t>
      </w:r>
      <w:r>
        <w:rPr>
          <w:color w:val="2A2A2A"/>
          <w:w w:val="105"/>
          <w:sz w:val="18"/>
        </w:rPr>
        <w:t>and subsequent</w:t>
      </w:r>
      <w:r>
        <w:rPr>
          <w:color w:val="2A2A2A"/>
          <w:spacing w:val="-32"/>
          <w:w w:val="105"/>
          <w:sz w:val="18"/>
        </w:rPr>
        <w:t> </w:t>
      </w:r>
      <w:r>
        <w:rPr>
          <w:color w:val="2A2A2A"/>
          <w:w w:val="105"/>
          <w:sz w:val="18"/>
        </w:rPr>
        <w:t>terms.</w:t>
      </w:r>
    </w:p>
    <w:p>
      <w:pPr>
        <w:pStyle w:val="BodyText"/>
        <w:spacing w:before="10"/>
        <w:rPr>
          <w:sz w:val="19"/>
        </w:rPr>
      </w:pPr>
    </w:p>
    <w:p>
      <w:pPr>
        <w:spacing w:line="273" w:lineRule="auto" w:before="0"/>
        <w:ind w:left="2550" w:right="832" w:firstLine="2"/>
        <w:jc w:val="left"/>
        <w:rPr>
          <w:sz w:val="18"/>
        </w:rPr>
      </w:pPr>
      <w:r>
        <w:rPr>
          <w:color w:val="2A2A2A"/>
          <w:w w:val="105"/>
          <w:sz w:val="18"/>
        </w:rPr>
        <w:t>The Association's Performance Agreement with the Disability Services Commission now </w:t>
      </w:r>
      <w:r>
        <w:rPr>
          <w:color w:val="3B3B3B"/>
          <w:w w:val="105"/>
          <w:sz w:val="18"/>
        </w:rPr>
        <w:t>requires</w:t>
      </w:r>
      <w:r>
        <w:rPr>
          <w:color w:val="3B3B3B"/>
          <w:spacing w:val="-14"/>
          <w:w w:val="105"/>
          <w:sz w:val="18"/>
        </w:rPr>
        <w:t> </w:t>
      </w:r>
      <w:r>
        <w:rPr>
          <w:color w:val="2A2A2A"/>
          <w:w w:val="105"/>
          <w:sz w:val="18"/>
        </w:rPr>
        <w:t>it</w:t>
      </w:r>
      <w:r>
        <w:rPr>
          <w:color w:val="2A2A2A"/>
          <w:spacing w:val="-16"/>
          <w:w w:val="105"/>
          <w:sz w:val="18"/>
        </w:rPr>
        <w:t> </w:t>
      </w:r>
      <w:r>
        <w:rPr>
          <w:color w:val="2A2A2A"/>
          <w:w w:val="105"/>
          <w:sz w:val="18"/>
        </w:rPr>
        <w:t>to</w:t>
      </w:r>
      <w:r>
        <w:rPr>
          <w:color w:val="2A2A2A"/>
          <w:spacing w:val="-22"/>
          <w:w w:val="105"/>
          <w:sz w:val="18"/>
        </w:rPr>
        <w:t> </w:t>
      </w:r>
      <w:r>
        <w:rPr>
          <w:color w:val="2A2A2A"/>
          <w:w w:val="105"/>
          <w:sz w:val="18"/>
        </w:rPr>
        <w:t>make</w:t>
      </w:r>
      <w:r>
        <w:rPr>
          <w:color w:val="2A2A2A"/>
          <w:spacing w:val="-15"/>
          <w:w w:val="105"/>
          <w:sz w:val="18"/>
        </w:rPr>
        <w:t> </w:t>
      </w:r>
      <w:r>
        <w:rPr>
          <w:color w:val="2A2A2A"/>
          <w:w w:val="105"/>
          <w:sz w:val="18"/>
        </w:rPr>
        <w:t>provision</w:t>
      </w:r>
      <w:r>
        <w:rPr>
          <w:color w:val="2A2A2A"/>
          <w:spacing w:val="-8"/>
          <w:w w:val="105"/>
          <w:sz w:val="18"/>
        </w:rPr>
        <w:t> </w:t>
      </w:r>
      <w:r>
        <w:rPr>
          <w:color w:val="2A2A2A"/>
          <w:w w:val="105"/>
          <w:sz w:val="18"/>
        </w:rPr>
        <w:t>tor</w:t>
      </w:r>
      <w:r>
        <w:rPr>
          <w:color w:val="2A2A2A"/>
          <w:spacing w:val="-18"/>
          <w:w w:val="105"/>
          <w:sz w:val="18"/>
        </w:rPr>
        <w:t> </w:t>
      </w:r>
      <w:r>
        <w:rPr>
          <w:color w:val="2A2A2A"/>
          <w:w w:val="105"/>
          <w:sz w:val="18"/>
        </w:rPr>
        <w:t>Long</w:t>
      </w:r>
      <w:r>
        <w:rPr>
          <w:color w:val="2A2A2A"/>
          <w:spacing w:val="-16"/>
          <w:w w:val="105"/>
          <w:sz w:val="18"/>
        </w:rPr>
        <w:t> </w:t>
      </w:r>
      <w:r>
        <w:rPr>
          <w:color w:val="2A2A2A"/>
          <w:w w:val="105"/>
          <w:sz w:val="18"/>
        </w:rPr>
        <w:t>Service</w:t>
      </w:r>
      <w:r>
        <w:rPr>
          <w:color w:val="2A2A2A"/>
          <w:spacing w:val="-11"/>
          <w:w w:val="105"/>
          <w:sz w:val="18"/>
        </w:rPr>
        <w:t> </w:t>
      </w:r>
      <w:r>
        <w:rPr>
          <w:color w:val="2A2A2A"/>
          <w:w w:val="105"/>
          <w:sz w:val="18"/>
        </w:rPr>
        <w:t>Leave</w:t>
      </w:r>
      <w:r>
        <w:rPr>
          <w:color w:val="2A2A2A"/>
          <w:spacing w:val="-11"/>
          <w:w w:val="105"/>
          <w:sz w:val="18"/>
        </w:rPr>
        <w:t> </w:t>
      </w:r>
      <w:r>
        <w:rPr>
          <w:color w:val="2A2A2A"/>
          <w:w w:val="105"/>
          <w:sz w:val="18"/>
        </w:rPr>
        <w:t>as</w:t>
      </w:r>
      <w:r>
        <w:rPr>
          <w:color w:val="2A2A2A"/>
          <w:spacing w:val="-25"/>
          <w:w w:val="105"/>
          <w:sz w:val="18"/>
        </w:rPr>
        <w:t> </w:t>
      </w:r>
      <w:r>
        <w:rPr>
          <w:color w:val="2A2A2A"/>
          <w:w w:val="105"/>
          <w:sz w:val="18"/>
        </w:rPr>
        <w:t>per</w:t>
      </w:r>
      <w:r>
        <w:rPr>
          <w:color w:val="2A2A2A"/>
          <w:spacing w:val="-21"/>
          <w:w w:val="105"/>
          <w:sz w:val="18"/>
        </w:rPr>
        <w:t> </w:t>
      </w:r>
      <w:r>
        <w:rPr>
          <w:color w:val="3B3B3B"/>
          <w:w w:val="105"/>
          <w:sz w:val="18"/>
        </w:rPr>
        <w:t>its</w:t>
      </w:r>
      <w:r>
        <w:rPr>
          <w:color w:val="3B3B3B"/>
          <w:spacing w:val="-22"/>
          <w:w w:val="105"/>
          <w:sz w:val="18"/>
        </w:rPr>
        <w:t> </w:t>
      </w:r>
      <w:r>
        <w:rPr>
          <w:color w:val="2A2A2A"/>
          <w:w w:val="105"/>
          <w:sz w:val="18"/>
        </w:rPr>
        <w:t>employee</w:t>
      </w:r>
      <w:r>
        <w:rPr>
          <w:color w:val="2A2A2A"/>
          <w:spacing w:val="-5"/>
          <w:w w:val="105"/>
          <w:sz w:val="18"/>
        </w:rPr>
        <w:t> </w:t>
      </w:r>
      <w:r>
        <w:rPr>
          <w:color w:val="2A2A2A"/>
          <w:w w:val="105"/>
          <w:sz w:val="18"/>
        </w:rPr>
        <w:t>entitlement</w:t>
      </w:r>
      <w:r>
        <w:rPr>
          <w:color w:val="2A2A2A"/>
          <w:spacing w:val="-11"/>
          <w:w w:val="105"/>
          <w:sz w:val="18"/>
        </w:rPr>
        <w:t> </w:t>
      </w:r>
      <w:r>
        <w:rPr>
          <w:color w:val="2A2A2A"/>
          <w:w w:val="105"/>
          <w:sz w:val="18"/>
        </w:rPr>
        <w:t>policy.</w:t>
      </w:r>
    </w:p>
    <w:p>
      <w:pPr>
        <w:pStyle w:val="BodyText"/>
        <w:spacing w:before="7"/>
        <w:rPr>
          <w:sz w:val="19"/>
        </w:rPr>
      </w:pPr>
    </w:p>
    <w:p>
      <w:pPr>
        <w:pStyle w:val="ListParagraph"/>
        <w:numPr>
          <w:ilvl w:val="0"/>
          <w:numId w:val="7"/>
        </w:numPr>
        <w:tabs>
          <w:tab w:pos="2548" w:val="left" w:leader="none"/>
        </w:tabs>
        <w:spacing w:line="273" w:lineRule="auto" w:before="0" w:after="0"/>
        <w:ind w:left="2550" w:right="1468" w:hanging="287"/>
        <w:jc w:val="left"/>
        <w:rPr>
          <w:color w:val="2A2A2A"/>
          <w:sz w:val="18"/>
        </w:rPr>
      </w:pPr>
      <w:r>
        <w:rPr>
          <w:color w:val="2A2A2A"/>
          <w:w w:val="105"/>
          <w:sz w:val="18"/>
        </w:rPr>
        <w:t>Holiday</w:t>
      </w:r>
      <w:r>
        <w:rPr>
          <w:color w:val="2A2A2A"/>
          <w:spacing w:val="-16"/>
          <w:w w:val="105"/>
          <w:sz w:val="18"/>
        </w:rPr>
        <w:t> </w:t>
      </w:r>
      <w:r>
        <w:rPr>
          <w:color w:val="2A2A2A"/>
          <w:w w:val="105"/>
          <w:sz w:val="18"/>
        </w:rPr>
        <w:t>pay</w:t>
      </w:r>
      <w:r>
        <w:rPr>
          <w:color w:val="2A2A2A"/>
          <w:spacing w:val="-23"/>
          <w:w w:val="105"/>
          <w:sz w:val="18"/>
        </w:rPr>
        <w:t> </w:t>
      </w:r>
      <w:r>
        <w:rPr>
          <w:color w:val="2A2A2A"/>
          <w:w w:val="105"/>
          <w:sz w:val="18"/>
        </w:rPr>
        <w:t>is</w:t>
      </w:r>
      <w:r>
        <w:rPr>
          <w:color w:val="2A2A2A"/>
          <w:spacing w:val="-28"/>
          <w:w w:val="105"/>
          <w:sz w:val="18"/>
        </w:rPr>
        <w:t> </w:t>
      </w:r>
      <w:r>
        <w:rPr>
          <w:color w:val="2A2A2A"/>
          <w:w w:val="105"/>
          <w:sz w:val="18"/>
        </w:rPr>
        <w:t>accrued</w:t>
      </w:r>
      <w:r>
        <w:rPr>
          <w:color w:val="2A2A2A"/>
          <w:spacing w:val="-18"/>
          <w:w w:val="105"/>
          <w:sz w:val="18"/>
        </w:rPr>
        <w:t> </w:t>
      </w:r>
      <w:r>
        <w:rPr>
          <w:color w:val="2A2A2A"/>
          <w:w w:val="105"/>
          <w:sz w:val="18"/>
        </w:rPr>
        <w:t>based</w:t>
      </w:r>
      <w:r>
        <w:rPr>
          <w:color w:val="2A2A2A"/>
          <w:spacing w:val="-19"/>
          <w:w w:val="105"/>
          <w:sz w:val="18"/>
        </w:rPr>
        <w:t> </w:t>
      </w:r>
      <w:r>
        <w:rPr>
          <w:color w:val="2A2A2A"/>
          <w:w w:val="105"/>
          <w:sz w:val="18"/>
        </w:rPr>
        <w:t>upon</w:t>
      </w:r>
      <w:r>
        <w:rPr>
          <w:color w:val="2A2A2A"/>
          <w:spacing w:val="-15"/>
          <w:w w:val="105"/>
          <w:sz w:val="18"/>
        </w:rPr>
        <w:t> </w:t>
      </w:r>
      <w:r>
        <w:rPr>
          <w:color w:val="2A2A2A"/>
          <w:w w:val="105"/>
          <w:sz w:val="18"/>
        </w:rPr>
        <w:t>holiday</w:t>
      </w:r>
      <w:r>
        <w:rPr>
          <w:color w:val="2A2A2A"/>
          <w:spacing w:val="-16"/>
          <w:w w:val="105"/>
          <w:sz w:val="18"/>
        </w:rPr>
        <w:t> </w:t>
      </w:r>
      <w:r>
        <w:rPr>
          <w:color w:val="2A2A2A"/>
          <w:w w:val="105"/>
          <w:sz w:val="18"/>
        </w:rPr>
        <w:t>entitlement</w:t>
      </w:r>
      <w:r>
        <w:rPr>
          <w:color w:val="2A2A2A"/>
          <w:spacing w:val="-9"/>
          <w:w w:val="105"/>
          <w:sz w:val="18"/>
        </w:rPr>
        <w:t> </w:t>
      </w:r>
      <w:r>
        <w:rPr>
          <w:color w:val="2A2A2A"/>
          <w:w w:val="105"/>
          <w:sz w:val="18"/>
        </w:rPr>
        <w:t>and</w:t>
      </w:r>
      <w:r>
        <w:rPr>
          <w:color w:val="2A2A2A"/>
          <w:spacing w:val="-19"/>
          <w:w w:val="105"/>
          <w:sz w:val="18"/>
        </w:rPr>
        <w:t> </w:t>
      </w:r>
      <w:r>
        <w:rPr>
          <w:color w:val="2A2A2A"/>
          <w:spacing w:val="-3"/>
          <w:w w:val="105"/>
          <w:sz w:val="18"/>
        </w:rPr>
        <w:t>pro</w:t>
      </w:r>
      <w:r>
        <w:rPr>
          <w:color w:val="545454"/>
          <w:spacing w:val="-3"/>
          <w:w w:val="105"/>
          <w:sz w:val="18"/>
        </w:rPr>
        <w:t>-</w:t>
      </w:r>
      <w:r>
        <w:rPr>
          <w:color w:val="2A2A2A"/>
          <w:spacing w:val="-3"/>
          <w:w w:val="105"/>
          <w:sz w:val="18"/>
        </w:rPr>
        <w:t>.rata</w:t>
      </w:r>
      <w:r>
        <w:rPr>
          <w:color w:val="2A2A2A"/>
          <w:spacing w:val="-22"/>
          <w:w w:val="105"/>
          <w:sz w:val="18"/>
        </w:rPr>
        <w:t> </w:t>
      </w:r>
      <w:r>
        <w:rPr>
          <w:color w:val="2A2A2A"/>
          <w:w w:val="105"/>
          <w:sz w:val="18"/>
        </w:rPr>
        <w:t>at</w:t>
      </w:r>
      <w:r>
        <w:rPr>
          <w:color w:val="2A2A2A"/>
          <w:spacing w:val="-23"/>
          <w:w w:val="105"/>
          <w:sz w:val="18"/>
        </w:rPr>
        <w:t> </w:t>
      </w:r>
      <w:r>
        <w:rPr>
          <w:color w:val="2A2A2A"/>
          <w:w w:val="105"/>
          <w:sz w:val="18"/>
        </w:rPr>
        <w:t>current</w:t>
      </w:r>
      <w:r>
        <w:rPr>
          <w:color w:val="2A2A2A"/>
          <w:spacing w:val="-18"/>
          <w:w w:val="105"/>
          <w:sz w:val="18"/>
        </w:rPr>
        <w:t> </w:t>
      </w:r>
      <w:r>
        <w:rPr>
          <w:color w:val="3B3B3B"/>
          <w:w w:val="105"/>
          <w:sz w:val="18"/>
        </w:rPr>
        <w:t>rates</w:t>
      </w:r>
      <w:r>
        <w:rPr>
          <w:color w:val="3B3B3B"/>
          <w:spacing w:val="-12"/>
          <w:w w:val="105"/>
          <w:sz w:val="18"/>
        </w:rPr>
        <w:t> </w:t>
      </w:r>
      <w:r>
        <w:rPr>
          <w:color w:val="2A2A2A"/>
          <w:w w:val="105"/>
          <w:sz w:val="18"/>
        </w:rPr>
        <w:t>of pay plus 17.5% loadings, Superannuation and </w:t>
      </w:r>
      <w:r>
        <w:rPr>
          <w:color w:val="1C1C1C"/>
          <w:w w:val="105"/>
          <w:sz w:val="18"/>
        </w:rPr>
        <w:t>Workers </w:t>
      </w:r>
      <w:r>
        <w:rPr>
          <w:color w:val="2A2A2A"/>
          <w:w w:val="105"/>
          <w:sz w:val="18"/>
        </w:rPr>
        <w:t>Compensation </w:t>
      </w:r>
      <w:r>
        <w:rPr>
          <w:color w:val="1C1C1C"/>
          <w:w w:val="105"/>
          <w:sz w:val="18"/>
        </w:rPr>
        <w:t>liabilities </w:t>
      </w:r>
      <w:r>
        <w:rPr>
          <w:color w:val="2A2A2A"/>
          <w:w w:val="105"/>
          <w:sz w:val="18"/>
        </w:rPr>
        <w:t>for applicable</w:t>
      </w:r>
      <w:r>
        <w:rPr>
          <w:color w:val="2A2A2A"/>
          <w:spacing w:val="10"/>
          <w:w w:val="105"/>
          <w:sz w:val="18"/>
        </w:rPr>
        <w:t> </w:t>
      </w:r>
      <w:r>
        <w:rPr>
          <w:color w:val="2A2A2A"/>
          <w:w w:val="105"/>
          <w:sz w:val="18"/>
        </w:rPr>
        <w:t>staff.</w:t>
      </w:r>
    </w:p>
    <w:p>
      <w:pPr>
        <w:pStyle w:val="BodyText"/>
        <w:spacing w:before="2"/>
        <w:rPr>
          <w:sz w:val="21"/>
        </w:rPr>
      </w:pPr>
    </w:p>
    <w:p>
      <w:pPr>
        <w:pStyle w:val="ListParagraph"/>
        <w:numPr>
          <w:ilvl w:val="0"/>
          <w:numId w:val="7"/>
        </w:numPr>
        <w:tabs>
          <w:tab w:pos="2559" w:val="left" w:leader="none"/>
        </w:tabs>
        <w:spacing w:line="273" w:lineRule="auto" w:before="0" w:after="0"/>
        <w:ind w:left="2560" w:right="1206" w:hanging="297"/>
        <w:jc w:val="left"/>
        <w:rPr>
          <w:color w:val="1C1C1C"/>
          <w:sz w:val="18"/>
        </w:rPr>
      </w:pPr>
      <w:r>
        <w:rPr>
          <w:color w:val="2A2A2A"/>
          <w:w w:val="105"/>
          <w:sz w:val="18"/>
        </w:rPr>
        <w:t>Provision for Sick Leave has been accrued on the basis of 50% of the outstanding balance</w:t>
      </w:r>
      <w:r>
        <w:rPr>
          <w:color w:val="2A2A2A"/>
          <w:spacing w:val="-11"/>
          <w:w w:val="105"/>
          <w:sz w:val="18"/>
        </w:rPr>
        <w:t> </w:t>
      </w:r>
      <w:r>
        <w:rPr>
          <w:color w:val="2A2A2A"/>
          <w:w w:val="105"/>
          <w:sz w:val="18"/>
        </w:rPr>
        <w:t>as</w:t>
      </w:r>
      <w:r>
        <w:rPr>
          <w:color w:val="2A2A2A"/>
          <w:spacing w:val="-11"/>
          <w:w w:val="105"/>
          <w:sz w:val="18"/>
        </w:rPr>
        <w:t> </w:t>
      </w:r>
      <w:r>
        <w:rPr>
          <w:color w:val="2A2A2A"/>
          <w:w w:val="105"/>
          <w:sz w:val="18"/>
        </w:rPr>
        <w:t>at</w:t>
      </w:r>
      <w:r>
        <w:rPr>
          <w:color w:val="2A2A2A"/>
          <w:spacing w:val="25"/>
          <w:w w:val="105"/>
          <w:sz w:val="18"/>
        </w:rPr>
        <w:t> </w:t>
      </w:r>
      <w:r>
        <w:rPr>
          <w:color w:val="2A2A2A"/>
          <w:w w:val="105"/>
          <w:sz w:val="18"/>
        </w:rPr>
        <w:t>30</w:t>
      </w:r>
      <w:r>
        <w:rPr>
          <w:color w:val="2A2A2A"/>
          <w:spacing w:val="-24"/>
          <w:w w:val="105"/>
          <w:sz w:val="18"/>
        </w:rPr>
        <w:t> </w:t>
      </w:r>
      <w:r>
        <w:rPr>
          <w:color w:val="2A2A2A"/>
          <w:w w:val="105"/>
          <w:sz w:val="18"/>
        </w:rPr>
        <w:t>June</w:t>
      </w:r>
      <w:r>
        <w:rPr>
          <w:color w:val="2A2A2A"/>
          <w:spacing w:val="-15"/>
          <w:w w:val="105"/>
          <w:sz w:val="18"/>
        </w:rPr>
        <w:t> </w:t>
      </w:r>
      <w:r>
        <w:rPr>
          <w:color w:val="2A2A2A"/>
          <w:w w:val="105"/>
          <w:sz w:val="18"/>
        </w:rPr>
        <w:t>2011</w:t>
      </w:r>
      <w:r>
        <w:rPr>
          <w:color w:val="2A2A2A"/>
          <w:spacing w:val="16"/>
          <w:w w:val="105"/>
          <w:sz w:val="18"/>
        </w:rPr>
        <w:t> </w:t>
      </w:r>
      <w:r>
        <w:rPr>
          <w:color w:val="3B3B3B"/>
          <w:w w:val="105"/>
          <w:sz w:val="18"/>
        </w:rPr>
        <w:t>,</w:t>
      </w:r>
      <w:r>
        <w:rPr>
          <w:color w:val="3B3B3B"/>
          <w:spacing w:val="-6"/>
          <w:w w:val="105"/>
          <w:sz w:val="18"/>
        </w:rPr>
        <w:t> </w:t>
      </w:r>
      <w:r>
        <w:rPr>
          <w:color w:val="2A2A2A"/>
          <w:w w:val="105"/>
          <w:sz w:val="18"/>
        </w:rPr>
        <w:t>plus</w:t>
      </w:r>
      <w:r>
        <w:rPr>
          <w:color w:val="2A2A2A"/>
          <w:spacing w:val="-8"/>
          <w:w w:val="105"/>
          <w:sz w:val="18"/>
        </w:rPr>
        <w:t> </w:t>
      </w:r>
      <w:r>
        <w:rPr>
          <w:color w:val="2A2A2A"/>
          <w:w w:val="105"/>
          <w:sz w:val="18"/>
        </w:rPr>
        <w:t>superannuation</w:t>
      </w:r>
      <w:r>
        <w:rPr>
          <w:color w:val="2A2A2A"/>
          <w:spacing w:val="-27"/>
          <w:w w:val="105"/>
          <w:sz w:val="18"/>
        </w:rPr>
        <w:t> </w:t>
      </w:r>
      <w:r>
        <w:rPr>
          <w:color w:val="2A2A2A"/>
          <w:w w:val="105"/>
          <w:sz w:val="18"/>
        </w:rPr>
        <w:t>and</w:t>
      </w:r>
      <w:r>
        <w:rPr>
          <w:color w:val="2A2A2A"/>
          <w:spacing w:val="-13"/>
          <w:w w:val="105"/>
          <w:sz w:val="18"/>
        </w:rPr>
        <w:t> </w:t>
      </w:r>
      <w:r>
        <w:rPr>
          <w:color w:val="2A2A2A"/>
          <w:w w:val="105"/>
          <w:sz w:val="18"/>
        </w:rPr>
        <w:t>workers</w:t>
      </w:r>
      <w:r>
        <w:rPr>
          <w:color w:val="2A2A2A"/>
          <w:spacing w:val="-15"/>
          <w:w w:val="105"/>
          <w:sz w:val="18"/>
        </w:rPr>
        <w:t> </w:t>
      </w:r>
      <w:r>
        <w:rPr>
          <w:color w:val="2A2A2A"/>
          <w:w w:val="105"/>
          <w:sz w:val="18"/>
        </w:rPr>
        <w:t>compensation</w:t>
      </w:r>
      <w:r>
        <w:rPr>
          <w:color w:val="2A2A2A"/>
          <w:spacing w:val="-3"/>
          <w:w w:val="105"/>
          <w:sz w:val="18"/>
        </w:rPr>
        <w:t> </w:t>
      </w:r>
      <w:r>
        <w:rPr>
          <w:color w:val="3B3B3B"/>
          <w:w w:val="105"/>
          <w:sz w:val="18"/>
        </w:rPr>
        <w:t>liabilities</w:t>
      </w:r>
      <w:r>
        <w:rPr>
          <w:color w:val="2A2A2A"/>
          <w:w w:val="105"/>
          <w:sz w:val="18"/>
        </w:rPr>
        <w:t> for applicable</w:t>
      </w:r>
      <w:r>
        <w:rPr>
          <w:color w:val="2A2A2A"/>
          <w:spacing w:val="-9"/>
          <w:w w:val="105"/>
          <w:sz w:val="18"/>
        </w:rPr>
        <w:t> </w:t>
      </w:r>
      <w:r>
        <w:rPr>
          <w:color w:val="2A2A2A"/>
          <w:w w:val="105"/>
          <w:sz w:val="18"/>
        </w:rPr>
        <w:t>staff</w:t>
      </w:r>
      <w:r>
        <w:rPr>
          <w:color w:val="545454"/>
          <w:w w:val="105"/>
          <w:sz w:val="18"/>
        </w:rPr>
        <w:t>.</w:t>
      </w:r>
    </w:p>
    <w:p>
      <w:pPr>
        <w:pStyle w:val="BodyText"/>
        <w:spacing w:before="4"/>
        <w:rPr>
          <w:sz w:val="20"/>
        </w:rPr>
      </w:pPr>
    </w:p>
    <w:p>
      <w:pPr>
        <w:pStyle w:val="ListParagraph"/>
        <w:numPr>
          <w:ilvl w:val="0"/>
          <w:numId w:val="7"/>
        </w:numPr>
        <w:tabs>
          <w:tab w:pos="2559" w:val="left" w:leader="none"/>
        </w:tabs>
        <w:spacing w:line="273" w:lineRule="auto" w:before="0" w:after="0"/>
        <w:ind w:left="2570" w:right="1456" w:hanging="298"/>
        <w:jc w:val="left"/>
        <w:rPr>
          <w:color w:val="2A2A2A"/>
          <w:sz w:val="18"/>
        </w:rPr>
      </w:pPr>
      <w:r>
        <w:rPr>
          <w:color w:val="1C1C1C"/>
          <w:w w:val="105"/>
          <w:sz w:val="18"/>
        </w:rPr>
        <w:t>Depreciation</w:t>
      </w:r>
      <w:r>
        <w:rPr>
          <w:color w:val="1C1C1C"/>
          <w:spacing w:val="-7"/>
          <w:w w:val="105"/>
          <w:sz w:val="18"/>
        </w:rPr>
        <w:t> </w:t>
      </w:r>
      <w:r>
        <w:rPr>
          <w:color w:val="3B3B3B"/>
          <w:w w:val="105"/>
          <w:sz w:val="18"/>
        </w:rPr>
        <w:t>is</w:t>
      </w:r>
      <w:r>
        <w:rPr>
          <w:color w:val="3B3B3B"/>
          <w:spacing w:val="-23"/>
          <w:w w:val="105"/>
          <w:sz w:val="18"/>
        </w:rPr>
        <w:t> </w:t>
      </w:r>
      <w:r>
        <w:rPr>
          <w:color w:val="2A2A2A"/>
          <w:w w:val="105"/>
          <w:sz w:val="18"/>
        </w:rPr>
        <w:t>calculated</w:t>
      </w:r>
      <w:r>
        <w:rPr>
          <w:color w:val="2A2A2A"/>
          <w:spacing w:val="-3"/>
          <w:w w:val="105"/>
          <w:sz w:val="18"/>
        </w:rPr>
        <w:t> </w:t>
      </w:r>
      <w:r>
        <w:rPr>
          <w:color w:val="2A2A2A"/>
          <w:w w:val="105"/>
          <w:sz w:val="18"/>
        </w:rPr>
        <w:t>on</w:t>
      </w:r>
      <w:r>
        <w:rPr>
          <w:color w:val="2A2A2A"/>
          <w:spacing w:val="-13"/>
          <w:w w:val="105"/>
          <w:sz w:val="18"/>
        </w:rPr>
        <w:t> </w:t>
      </w:r>
      <w:r>
        <w:rPr>
          <w:color w:val="2A2A2A"/>
          <w:w w:val="105"/>
          <w:sz w:val="18"/>
        </w:rPr>
        <w:t>a</w:t>
      </w:r>
      <w:r>
        <w:rPr>
          <w:color w:val="2A2A2A"/>
          <w:spacing w:val="-11"/>
          <w:w w:val="105"/>
          <w:sz w:val="18"/>
        </w:rPr>
        <w:t> </w:t>
      </w:r>
      <w:r>
        <w:rPr>
          <w:color w:val="3B3B3B"/>
          <w:w w:val="105"/>
          <w:sz w:val="18"/>
        </w:rPr>
        <w:t>straight</w:t>
      </w:r>
      <w:r>
        <w:rPr>
          <w:color w:val="3B3B3B"/>
          <w:spacing w:val="-15"/>
          <w:w w:val="105"/>
          <w:sz w:val="18"/>
        </w:rPr>
        <w:t> </w:t>
      </w:r>
      <w:r>
        <w:rPr>
          <w:color w:val="1C1C1C"/>
          <w:w w:val="105"/>
          <w:sz w:val="18"/>
        </w:rPr>
        <w:t>line</w:t>
      </w:r>
      <w:r>
        <w:rPr>
          <w:color w:val="1C1C1C"/>
          <w:spacing w:val="-8"/>
          <w:w w:val="105"/>
          <w:sz w:val="18"/>
        </w:rPr>
        <w:t> </w:t>
      </w:r>
      <w:r>
        <w:rPr>
          <w:color w:val="2A2A2A"/>
          <w:w w:val="105"/>
          <w:sz w:val="18"/>
        </w:rPr>
        <w:t>basis</w:t>
      </w:r>
      <w:r>
        <w:rPr>
          <w:color w:val="2A2A2A"/>
          <w:spacing w:val="-11"/>
          <w:w w:val="105"/>
          <w:sz w:val="18"/>
        </w:rPr>
        <w:t> </w:t>
      </w:r>
      <w:r>
        <w:rPr>
          <w:color w:val="2A2A2A"/>
          <w:w w:val="105"/>
          <w:sz w:val="18"/>
        </w:rPr>
        <w:t>so</w:t>
      </w:r>
      <w:r>
        <w:rPr>
          <w:color w:val="2A2A2A"/>
          <w:spacing w:val="-12"/>
          <w:w w:val="105"/>
          <w:sz w:val="18"/>
        </w:rPr>
        <w:t> </w:t>
      </w:r>
      <w:r>
        <w:rPr>
          <w:color w:val="2A2A2A"/>
          <w:w w:val="105"/>
          <w:sz w:val="18"/>
        </w:rPr>
        <w:t>as</w:t>
      </w:r>
      <w:r>
        <w:rPr>
          <w:color w:val="2A2A2A"/>
          <w:spacing w:val="-13"/>
          <w:w w:val="105"/>
          <w:sz w:val="18"/>
        </w:rPr>
        <w:t> </w:t>
      </w:r>
      <w:r>
        <w:rPr>
          <w:color w:val="2A2A2A"/>
          <w:w w:val="105"/>
          <w:sz w:val="18"/>
        </w:rPr>
        <w:t>to</w:t>
      </w:r>
      <w:r>
        <w:rPr>
          <w:color w:val="2A2A2A"/>
          <w:spacing w:val="-3"/>
          <w:w w:val="105"/>
          <w:sz w:val="18"/>
        </w:rPr>
        <w:t> </w:t>
      </w:r>
      <w:r>
        <w:rPr>
          <w:color w:val="2A2A2A"/>
          <w:w w:val="105"/>
          <w:sz w:val="18"/>
        </w:rPr>
        <w:t>write</w:t>
      </w:r>
      <w:r>
        <w:rPr>
          <w:color w:val="2A2A2A"/>
          <w:spacing w:val="-4"/>
          <w:w w:val="105"/>
          <w:sz w:val="18"/>
        </w:rPr>
        <w:t> </w:t>
      </w:r>
      <w:r>
        <w:rPr>
          <w:color w:val="2A2A2A"/>
          <w:w w:val="105"/>
          <w:sz w:val="18"/>
        </w:rPr>
        <w:t>of</w:t>
      </w:r>
      <w:r>
        <w:rPr>
          <w:color w:val="2A2A2A"/>
          <w:spacing w:val="-3"/>
          <w:w w:val="105"/>
          <w:sz w:val="18"/>
        </w:rPr>
        <w:t> </w:t>
      </w:r>
      <w:r>
        <w:rPr>
          <w:color w:val="2A2A2A"/>
          <w:w w:val="105"/>
          <w:sz w:val="18"/>
        </w:rPr>
        <w:t>the</w:t>
      </w:r>
      <w:r>
        <w:rPr>
          <w:color w:val="2A2A2A"/>
          <w:spacing w:val="-13"/>
          <w:w w:val="105"/>
          <w:sz w:val="18"/>
        </w:rPr>
        <w:t> </w:t>
      </w:r>
      <w:r>
        <w:rPr>
          <w:color w:val="2A2A2A"/>
          <w:w w:val="105"/>
          <w:sz w:val="18"/>
        </w:rPr>
        <w:t>net</w:t>
      </w:r>
      <w:r>
        <w:rPr>
          <w:color w:val="2A2A2A"/>
          <w:spacing w:val="-19"/>
          <w:w w:val="105"/>
          <w:sz w:val="18"/>
        </w:rPr>
        <w:t> </w:t>
      </w:r>
      <w:r>
        <w:rPr>
          <w:color w:val="2A2A2A"/>
          <w:w w:val="105"/>
          <w:sz w:val="18"/>
        </w:rPr>
        <w:t>cost</w:t>
      </w:r>
      <w:r>
        <w:rPr>
          <w:color w:val="2A2A2A"/>
          <w:spacing w:val="-18"/>
          <w:w w:val="105"/>
          <w:sz w:val="18"/>
        </w:rPr>
        <w:t> </w:t>
      </w:r>
      <w:r>
        <w:rPr>
          <w:color w:val="2A2A2A"/>
          <w:w w:val="105"/>
          <w:sz w:val="18"/>
        </w:rPr>
        <w:t>of</w:t>
      </w:r>
      <w:r>
        <w:rPr>
          <w:color w:val="2A2A2A"/>
          <w:spacing w:val="-9"/>
          <w:w w:val="105"/>
          <w:sz w:val="18"/>
        </w:rPr>
        <w:t> </w:t>
      </w:r>
      <w:r>
        <w:rPr>
          <w:color w:val="1C1C1C"/>
          <w:spacing w:val="-4"/>
          <w:w w:val="105"/>
          <w:sz w:val="18"/>
        </w:rPr>
        <w:t>eac</w:t>
      </w:r>
      <w:r>
        <w:rPr>
          <w:color w:val="3B3B3B"/>
          <w:spacing w:val="-4"/>
          <w:w w:val="105"/>
          <w:sz w:val="18"/>
        </w:rPr>
        <w:t>h</w:t>
      </w:r>
      <w:r>
        <w:rPr>
          <w:color w:val="2A2A2A"/>
          <w:spacing w:val="-4"/>
          <w:w w:val="105"/>
          <w:sz w:val="18"/>
        </w:rPr>
        <w:t> </w:t>
      </w:r>
      <w:r>
        <w:rPr>
          <w:color w:val="2A2A2A"/>
          <w:w w:val="105"/>
          <w:sz w:val="18"/>
        </w:rPr>
        <w:t>fixed</w:t>
      </w:r>
      <w:r>
        <w:rPr>
          <w:color w:val="2A2A2A"/>
          <w:spacing w:val="-8"/>
          <w:w w:val="105"/>
          <w:sz w:val="18"/>
        </w:rPr>
        <w:t> </w:t>
      </w:r>
      <w:r>
        <w:rPr>
          <w:color w:val="2A2A2A"/>
          <w:w w:val="105"/>
          <w:sz w:val="18"/>
        </w:rPr>
        <w:t>asset</w:t>
      </w:r>
      <w:r>
        <w:rPr>
          <w:color w:val="2A2A2A"/>
          <w:spacing w:val="-3"/>
          <w:w w:val="105"/>
          <w:sz w:val="18"/>
        </w:rPr>
        <w:t> </w:t>
      </w:r>
      <w:r>
        <w:rPr>
          <w:color w:val="2A2A2A"/>
          <w:w w:val="105"/>
          <w:sz w:val="18"/>
        </w:rPr>
        <w:t>during</w:t>
      </w:r>
      <w:r>
        <w:rPr>
          <w:color w:val="2A2A2A"/>
          <w:spacing w:val="-12"/>
          <w:w w:val="105"/>
          <w:sz w:val="18"/>
        </w:rPr>
        <w:t> </w:t>
      </w:r>
      <w:r>
        <w:rPr>
          <w:color w:val="3B3B3B"/>
          <w:w w:val="105"/>
          <w:sz w:val="18"/>
        </w:rPr>
        <w:t>i</w:t>
      </w:r>
      <w:r>
        <w:rPr>
          <w:color w:val="1C1C1C"/>
          <w:w w:val="105"/>
          <w:sz w:val="18"/>
        </w:rPr>
        <w:t>ts</w:t>
      </w:r>
      <w:r>
        <w:rPr>
          <w:color w:val="1C1C1C"/>
          <w:spacing w:val="-4"/>
          <w:w w:val="105"/>
          <w:sz w:val="18"/>
        </w:rPr>
        <w:t> </w:t>
      </w:r>
      <w:r>
        <w:rPr>
          <w:color w:val="2A2A2A"/>
          <w:w w:val="105"/>
          <w:sz w:val="18"/>
        </w:rPr>
        <w:t>expected</w:t>
      </w:r>
      <w:r>
        <w:rPr>
          <w:color w:val="2A2A2A"/>
          <w:spacing w:val="-6"/>
          <w:w w:val="105"/>
          <w:sz w:val="18"/>
        </w:rPr>
        <w:t> </w:t>
      </w:r>
      <w:r>
        <w:rPr>
          <w:color w:val="3B3B3B"/>
          <w:w w:val="105"/>
          <w:sz w:val="18"/>
        </w:rPr>
        <w:t>life.</w:t>
      </w:r>
      <w:r>
        <w:rPr>
          <w:color w:val="3B3B3B"/>
          <w:spacing w:val="-11"/>
          <w:w w:val="105"/>
          <w:sz w:val="18"/>
        </w:rPr>
        <w:t> </w:t>
      </w:r>
      <w:r>
        <w:rPr>
          <w:color w:val="2A2A2A"/>
          <w:w w:val="105"/>
          <w:sz w:val="18"/>
        </w:rPr>
        <w:t>The</w:t>
      </w:r>
      <w:r>
        <w:rPr>
          <w:color w:val="2A2A2A"/>
          <w:spacing w:val="-9"/>
          <w:w w:val="105"/>
          <w:sz w:val="18"/>
        </w:rPr>
        <w:t> </w:t>
      </w:r>
      <w:r>
        <w:rPr>
          <w:color w:val="2A2A2A"/>
          <w:w w:val="105"/>
          <w:sz w:val="18"/>
        </w:rPr>
        <w:t>depreciation</w:t>
      </w:r>
      <w:r>
        <w:rPr>
          <w:color w:val="2A2A2A"/>
          <w:spacing w:val="5"/>
          <w:w w:val="105"/>
          <w:sz w:val="18"/>
        </w:rPr>
        <w:t> </w:t>
      </w:r>
      <w:r>
        <w:rPr>
          <w:color w:val="2A2A2A"/>
          <w:w w:val="105"/>
          <w:sz w:val="18"/>
        </w:rPr>
        <w:t>rates</w:t>
      </w:r>
      <w:r>
        <w:rPr>
          <w:color w:val="2A2A2A"/>
          <w:spacing w:val="-6"/>
          <w:w w:val="105"/>
          <w:sz w:val="18"/>
        </w:rPr>
        <w:t> </w:t>
      </w:r>
      <w:r>
        <w:rPr>
          <w:color w:val="1C1C1C"/>
          <w:w w:val="105"/>
          <w:sz w:val="18"/>
        </w:rPr>
        <w:t>used</w:t>
      </w:r>
      <w:r>
        <w:rPr>
          <w:color w:val="1C1C1C"/>
          <w:spacing w:val="-7"/>
          <w:w w:val="105"/>
          <w:sz w:val="18"/>
        </w:rPr>
        <w:t> </w:t>
      </w:r>
      <w:r>
        <w:rPr>
          <w:color w:val="2A2A2A"/>
          <w:w w:val="105"/>
          <w:sz w:val="18"/>
        </w:rPr>
        <w:t>are:</w:t>
      </w:r>
    </w:p>
    <w:p>
      <w:pPr>
        <w:pStyle w:val="BodyText"/>
        <w:spacing w:before="4"/>
        <w:rPr>
          <w:sz w:val="20"/>
        </w:rPr>
      </w:pPr>
    </w:p>
    <w:p>
      <w:pPr>
        <w:tabs>
          <w:tab w:pos="5649" w:val="left" w:leader="none"/>
        </w:tabs>
        <w:spacing w:before="0"/>
        <w:ind w:left="2971" w:right="0" w:firstLine="0"/>
        <w:jc w:val="left"/>
        <w:rPr>
          <w:rFonts w:ascii="Times New Roman" w:hAnsi="Times New Roman"/>
          <w:sz w:val="18"/>
        </w:rPr>
      </w:pPr>
      <w:r>
        <w:rPr>
          <w:color w:val="2A2A2A"/>
          <w:sz w:val="18"/>
        </w:rPr>
        <w:t>Plant</w:t>
      </w:r>
      <w:r>
        <w:rPr>
          <w:color w:val="2A2A2A"/>
          <w:spacing w:val="7"/>
          <w:sz w:val="18"/>
        </w:rPr>
        <w:t> </w:t>
      </w:r>
      <w:r>
        <w:rPr>
          <w:color w:val="2A2A2A"/>
          <w:sz w:val="18"/>
        </w:rPr>
        <w:t>and</w:t>
      </w:r>
      <w:r>
        <w:rPr>
          <w:color w:val="2A2A2A"/>
          <w:spacing w:val="-7"/>
          <w:sz w:val="18"/>
        </w:rPr>
        <w:t> </w:t>
      </w:r>
      <w:r>
        <w:rPr>
          <w:color w:val="2A2A2A"/>
          <w:sz w:val="18"/>
        </w:rPr>
        <w:t>Equipment</w:t>
        <w:tab/>
      </w:r>
      <w:r>
        <w:rPr>
          <w:rFonts w:ascii="Times New Roman" w:hAnsi="Times New Roman"/>
          <w:color w:val="2A2A2A"/>
          <w:sz w:val="18"/>
        </w:rPr>
        <w:t>20°/c</w:t>
      </w:r>
    </w:p>
    <w:p>
      <w:pPr>
        <w:tabs>
          <w:tab w:pos="5644" w:val="left" w:leader="none"/>
        </w:tabs>
        <w:spacing w:before="23"/>
        <w:ind w:left="2970" w:right="0" w:firstLine="0"/>
        <w:jc w:val="left"/>
        <w:rPr>
          <w:rFonts w:ascii="Times New Roman"/>
          <w:sz w:val="18"/>
        </w:rPr>
      </w:pPr>
      <w:r>
        <w:rPr>
          <w:color w:val="2A2A2A"/>
          <w:sz w:val="18"/>
        </w:rPr>
        <w:t>Furniture</w:t>
      </w:r>
      <w:r>
        <w:rPr>
          <w:color w:val="2A2A2A"/>
          <w:spacing w:val="1"/>
          <w:sz w:val="18"/>
        </w:rPr>
        <w:t> </w:t>
      </w:r>
      <w:r>
        <w:rPr>
          <w:color w:val="2A2A2A"/>
          <w:sz w:val="17"/>
        </w:rPr>
        <w:t>&amp;</w:t>
      </w:r>
      <w:r>
        <w:rPr>
          <w:color w:val="2A2A2A"/>
          <w:spacing w:val="17"/>
          <w:sz w:val="17"/>
        </w:rPr>
        <w:t> </w:t>
      </w:r>
      <w:r>
        <w:rPr>
          <w:color w:val="2A2A2A"/>
          <w:sz w:val="18"/>
        </w:rPr>
        <w:t>Fittings</w:t>
        <w:tab/>
      </w:r>
      <w:r>
        <w:rPr>
          <w:rFonts w:ascii="Times New Roman"/>
          <w:color w:val="3B3B3B"/>
          <w:sz w:val="18"/>
        </w:rPr>
        <w:t>20%</w:t>
      </w:r>
    </w:p>
    <w:p>
      <w:pPr>
        <w:tabs>
          <w:tab w:pos="5609" w:val="left" w:leader="none"/>
        </w:tabs>
        <w:spacing w:before="23"/>
        <w:ind w:left="2971" w:right="0" w:firstLine="0"/>
        <w:jc w:val="left"/>
        <w:rPr>
          <w:sz w:val="18"/>
        </w:rPr>
      </w:pPr>
      <w:r>
        <w:rPr>
          <w:color w:val="1C1C1C"/>
          <w:sz w:val="18"/>
        </w:rPr>
        <w:t>Motor</w:t>
      </w:r>
      <w:r>
        <w:rPr>
          <w:color w:val="1C1C1C"/>
          <w:spacing w:val="10"/>
          <w:sz w:val="18"/>
        </w:rPr>
        <w:t> </w:t>
      </w:r>
      <w:r>
        <w:rPr>
          <w:color w:val="2A2A2A"/>
          <w:sz w:val="18"/>
        </w:rPr>
        <w:t>Vehicles</w:t>
        <w:tab/>
        <w:t>20%</w:t>
      </w:r>
    </w:p>
    <w:p>
      <w:pPr>
        <w:tabs>
          <w:tab w:pos="5602" w:val="left" w:leader="none"/>
        </w:tabs>
        <w:spacing w:before="24"/>
        <w:ind w:left="2966" w:right="0" w:firstLine="0"/>
        <w:jc w:val="left"/>
        <w:rPr>
          <w:sz w:val="18"/>
        </w:rPr>
      </w:pPr>
      <w:r>
        <w:rPr>
          <w:color w:val="2A2A2A"/>
          <w:w w:val="105"/>
          <w:sz w:val="18"/>
        </w:rPr>
        <w:t>Computers</w:t>
        <w:tab/>
        <w:t>33%</w:t>
      </w:r>
    </w:p>
    <w:p>
      <w:pPr>
        <w:tabs>
          <w:tab w:pos="5594" w:val="left" w:leader="none"/>
        </w:tabs>
        <w:spacing w:before="28"/>
        <w:ind w:left="2972" w:right="0" w:firstLine="0"/>
        <w:jc w:val="left"/>
        <w:rPr>
          <w:sz w:val="18"/>
        </w:rPr>
      </w:pPr>
      <w:r>
        <w:rPr>
          <w:color w:val="2A2A2A"/>
          <w:sz w:val="18"/>
        </w:rPr>
        <w:t>Buildings</w:t>
        <w:tab/>
        <w:t>2.5'¾</w:t>
      </w:r>
    </w:p>
    <w:p>
      <w:pPr>
        <w:pStyle w:val="BodyText"/>
        <w:spacing w:before="6"/>
        <w:rPr>
          <w:sz w:val="22"/>
        </w:rPr>
      </w:pPr>
    </w:p>
    <w:p>
      <w:pPr>
        <w:spacing w:before="0"/>
        <w:ind w:left="2573" w:right="0" w:firstLine="0"/>
        <w:jc w:val="left"/>
        <w:rPr>
          <w:sz w:val="18"/>
        </w:rPr>
      </w:pPr>
      <w:r>
        <w:rPr>
          <w:color w:val="2A2A2A"/>
          <w:w w:val="105"/>
          <w:sz w:val="18"/>
        </w:rPr>
        <w:t>Since </w:t>
      </w:r>
      <w:r>
        <w:rPr>
          <w:color w:val="1C1C1C"/>
          <w:w w:val="105"/>
          <w:sz w:val="18"/>
        </w:rPr>
        <w:t>June </w:t>
      </w:r>
      <w:r>
        <w:rPr>
          <w:color w:val="2A2A2A"/>
          <w:w w:val="105"/>
          <w:sz w:val="18"/>
        </w:rPr>
        <w:t>2000 it has been </w:t>
      </w:r>
      <w:r>
        <w:rPr>
          <w:color w:val="3B3B3B"/>
          <w:w w:val="105"/>
          <w:sz w:val="18"/>
        </w:rPr>
        <w:t>the </w:t>
      </w:r>
      <w:r>
        <w:rPr>
          <w:color w:val="2A2A2A"/>
          <w:w w:val="105"/>
          <w:sz w:val="18"/>
        </w:rPr>
        <w:t>policy of the </w:t>
      </w:r>
      <w:r>
        <w:rPr>
          <w:color w:val="1C1C1C"/>
          <w:w w:val="105"/>
          <w:sz w:val="18"/>
        </w:rPr>
        <w:t>Association to </w:t>
      </w:r>
      <w:r>
        <w:rPr>
          <w:color w:val="2A2A2A"/>
          <w:w w:val="105"/>
          <w:sz w:val="18"/>
        </w:rPr>
        <w:t>not capitalise </w:t>
      </w:r>
      <w:r>
        <w:rPr>
          <w:color w:val="3B3B3B"/>
          <w:w w:val="105"/>
          <w:sz w:val="18"/>
        </w:rPr>
        <w:t>i</w:t>
      </w:r>
      <w:r>
        <w:rPr>
          <w:color w:val="1C1C1C"/>
          <w:w w:val="105"/>
          <w:sz w:val="18"/>
        </w:rPr>
        <w:t>tems less </w:t>
      </w:r>
      <w:r>
        <w:rPr>
          <w:color w:val="2A2A2A"/>
          <w:w w:val="105"/>
          <w:sz w:val="18"/>
        </w:rPr>
        <w:t>than</w:t>
      </w:r>
    </w:p>
    <w:p>
      <w:pPr>
        <w:spacing w:line="264" w:lineRule="auto" w:before="29"/>
        <w:ind w:left="2575" w:right="1104" w:hanging="4"/>
        <w:jc w:val="left"/>
        <w:rPr>
          <w:sz w:val="18"/>
        </w:rPr>
      </w:pPr>
      <w:r>
        <w:rPr>
          <w:rFonts w:ascii="Times New Roman"/>
          <w:color w:val="2A2A2A"/>
          <w:w w:val="105"/>
          <w:sz w:val="18"/>
        </w:rPr>
        <w:t>$5 </w:t>
      </w:r>
      <w:r>
        <w:rPr>
          <w:rFonts w:ascii="Times New Roman"/>
          <w:color w:val="545454"/>
          <w:w w:val="105"/>
          <w:sz w:val="18"/>
        </w:rPr>
        <w:t>,</w:t>
      </w:r>
      <w:r>
        <w:rPr>
          <w:rFonts w:ascii="Times New Roman"/>
          <w:color w:val="2A2A2A"/>
          <w:w w:val="105"/>
          <w:sz w:val="18"/>
        </w:rPr>
        <w:t>000 </w:t>
      </w:r>
      <w:r>
        <w:rPr>
          <w:color w:val="2A2A2A"/>
          <w:w w:val="105"/>
          <w:sz w:val="18"/>
        </w:rPr>
        <w:t>in value. These amounts are written </w:t>
      </w:r>
      <w:r>
        <w:rPr>
          <w:color w:val="1C1C1C"/>
          <w:w w:val="105"/>
          <w:sz w:val="18"/>
        </w:rPr>
        <w:t>off </w:t>
      </w:r>
      <w:r>
        <w:rPr>
          <w:color w:val="2A2A2A"/>
          <w:w w:val="105"/>
          <w:sz w:val="18"/>
        </w:rPr>
        <w:t>wholly </w:t>
      </w:r>
      <w:r>
        <w:rPr>
          <w:color w:val="3B3B3B"/>
          <w:w w:val="105"/>
          <w:sz w:val="18"/>
        </w:rPr>
        <w:t>in </w:t>
      </w:r>
      <w:r>
        <w:rPr>
          <w:color w:val="2A2A2A"/>
          <w:w w:val="105"/>
          <w:sz w:val="18"/>
        </w:rPr>
        <w:t>the year of purchase</w:t>
      </w:r>
      <w:r>
        <w:rPr>
          <w:color w:val="545454"/>
          <w:w w:val="105"/>
          <w:sz w:val="18"/>
        </w:rPr>
        <w:t>. </w:t>
      </w:r>
      <w:r>
        <w:rPr>
          <w:color w:val="2A2A2A"/>
          <w:w w:val="105"/>
          <w:sz w:val="18"/>
        </w:rPr>
        <w:t>The </w:t>
      </w:r>
      <w:r>
        <w:rPr>
          <w:color w:val="1C1C1C"/>
          <w:w w:val="105"/>
          <w:sz w:val="18"/>
        </w:rPr>
        <w:t>Association</w:t>
      </w:r>
      <w:r>
        <w:rPr>
          <w:color w:val="1C1C1C"/>
          <w:spacing w:val="-16"/>
          <w:w w:val="105"/>
          <w:sz w:val="18"/>
        </w:rPr>
        <w:t> </w:t>
      </w:r>
      <w:r>
        <w:rPr>
          <w:color w:val="2A2A2A"/>
          <w:w w:val="105"/>
          <w:sz w:val="18"/>
        </w:rPr>
        <w:t>is</w:t>
      </w:r>
      <w:r>
        <w:rPr>
          <w:color w:val="2A2A2A"/>
          <w:spacing w:val="-10"/>
          <w:w w:val="105"/>
          <w:sz w:val="18"/>
        </w:rPr>
        <w:t> </w:t>
      </w:r>
      <w:r>
        <w:rPr>
          <w:color w:val="2A2A2A"/>
          <w:w w:val="105"/>
          <w:sz w:val="18"/>
        </w:rPr>
        <w:t>not</w:t>
      </w:r>
      <w:r>
        <w:rPr>
          <w:color w:val="2A2A2A"/>
          <w:spacing w:val="-17"/>
          <w:w w:val="105"/>
          <w:sz w:val="18"/>
        </w:rPr>
        <w:t> </w:t>
      </w:r>
      <w:r>
        <w:rPr>
          <w:color w:val="1C1C1C"/>
          <w:w w:val="105"/>
          <w:sz w:val="18"/>
        </w:rPr>
        <w:t>funded</w:t>
      </w:r>
      <w:r>
        <w:rPr>
          <w:color w:val="1C1C1C"/>
          <w:spacing w:val="-17"/>
          <w:w w:val="105"/>
          <w:sz w:val="18"/>
        </w:rPr>
        <w:t> </w:t>
      </w:r>
      <w:r>
        <w:rPr>
          <w:color w:val="2A2A2A"/>
          <w:w w:val="105"/>
          <w:sz w:val="18"/>
        </w:rPr>
        <w:t>for</w:t>
      </w:r>
      <w:r>
        <w:rPr>
          <w:color w:val="2A2A2A"/>
          <w:spacing w:val="-13"/>
          <w:w w:val="105"/>
          <w:sz w:val="18"/>
        </w:rPr>
        <w:t> </w:t>
      </w:r>
      <w:r>
        <w:rPr>
          <w:color w:val="2A2A2A"/>
          <w:w w:val="105"/>
          <w:sz w:val="18"/>
        </w:rPr>
        <w:t>capital</w:t>
      </w:r>
      <w:r>
        <w:rPr>
          <w:color w:val="2A2A2A"/>
          <w:spacing w:val="-15"/>
          <w:w w:val="105"/>
          <w:sz w:val="18"/>
        </w:rPr>
        <w:t> </w:t>
      </w:r>
      <w:r>
        <w:rPr>
          <w:color w:val="2A2A2A"/>
          <w:w w:val="105"/>
          <w:sz w:val="18"/>
        </w:rPr>
        <w:t>replacemeht</w:t>
      </w:r>
      <w:r>
        <w:rPr>
          <w:color w:val="2A2A2A"/>
          <w:spacing w:val="-10"/>
          <w:w w:val="105"/>
          <w:sz w:val="18"/>
        </w:rPr>
        <w:t> </w:t>
      </w:r>
      <w:r>
        <w:rPr>
          <w:color w:val="2A2A2A"/>
          <w:w w:val="105"/>
          <w:sz w:val="18"/>
        </w:rPr>
        <w:t>within</w:t>
      </w:r>
      <w:r>
        <w:rPr>
          <w:color w:val="2A2A2A"/>
          <w:spacing w:val="-19"/>
          <w:w w:val="105"/>
          <w:sz w:val="18"/>
        </w:rPr>
        <w:t> </w:t>
      </w:r>
      <w:r>
        <w:rPr>
          <w:color w:val="3B3B3B"/>
          <w:w w:val="105"/>
          <w:sz w:val="18"/>
        </w:rPr>
        <w:t>it's</w:t>
      </w:r>
      <w:r>
        <w:rPr>
          <w:color w:val="3B3B3B"/>
          <w:spacing w:val="-23"/>
          <w:w w:val="105"/>
          <w:sz w:val="18"/>
        </w:rPr>
        <w:t> </w:t>
      </w:r>
      <w:r>
        <w:rPr>
          <w:color w:val="2A2A2A"/>
          <w:w w:val="105"/>
          <w:sz w:val="18"/>
        </w:rPr>
        <w:t>current</w:t>
      </w:r>
      <w:r>
        <w:rPr>
          <w:color w:val="2A2A2A"/>
          <w:spacing w:val="-12"/>
          <w:w w:val="105"/>
          <w:sz w:val="18"/>
        </w:rPr>
        <w:t> </w:t>
      </w:r>
      <w:r>
        <w:rPr>
          <w:color w:val="2A2A2A"/>
          <w:w w:val="105"/>
          <w:sz w:val="18"/>
        </w:rPr>
        <w:t>grant</w:t>
      </w:r>
      <w:r>
        <w:rPr>
          <w:color w:val="2A2A2A"/>
          <w:spacing w:val="-16"/>
          <w:w w:val="105"/>
          <w:sz w:val="18"/>
        </w:rPr>
        <w:t> </w:t>
      </w:r>
      <w:r>
        <w:rPr>
          <w:color w:val="2A2A2A"/>
          <w:w w:val="105"/>
          <w:sz w:val="18"/>
        </w:rPr>
        <w:t>structure</w:t>
      </w:r>
      <w:r>
        <w:rPr>
          <w:color w:val="2A2A2A"/>
          <w:spacing w:val="-10"/>
          <w:w w:val="105"/>
          <w:sz w:val="18"/>
        </w:rPr>
        <w:t> </w:t>
      </w:r>
      <w:r>
        <w:rPr>
          <w:color w:val="2A2A2A"/>
          <w:w w:val="105"/>
          <w:sz w:val="18"/>
        </w:rPr>
        <w:t>and does</w:t>
      </w:r>
      <w:r>
        <w:rPr>
          <w:color w:val="2A2A2A"/>
          <w:spacing w:val="-11"/>
          <w:w w:val="105"/>
          <w:sz w:val="18"/>
        </w:rPr>
        <w:t> </w:t>
      </w:r>
      <w:r>
        <w:rPr>
          <w:color w:val="1C1C1C"/>
          <w:w w:val="105"/>
          <w:sz w:val="18"/>
        </w:rPr>
        <w:t>not</w:t>
      </w:r>
      <w:r>
        <w:rPr>
          <w:color w:val="1C1C1C"/>
          <w:spacing w:val="-14"/>
          <w:w w:val="105"/>
          <w:sz w:val="18"/>
        </w:rPr>
        <w:t> </w:t>
      </w:r>
      <w:r>
        <w:rPr>
          <w:color w:val="2A2A2A"/>
          <w:w w:val="105"/>
          <w:sz w:val="18"/>
        </w:rPr>
        <w:t>have</w:t>
      </w:r>
      <w:r>
        <w:rPr>
          <w:color w:val="2A2A2A"/>
          <w:spacing w:val="-12"/>
          <w:w w:val="105"/>
          <w:sz w:val="18"/>
        </w:rPr>
        <w:t> </w:t>
      </w:r>
      <w:r>
        <w:rPr>
          <w:color w:val="2A2A2A"/>
          <w:w w:val="105"/>
          <w:sz w:val="18"/>
        </w:rPr>
        <w:t>the</w:t>
      </w:r>
      <w:r>
        <w:rPr>
          <w:color w:val="2A2A2A"/>
          <w:spacing w:val="-12"/>
          <w:w w:val="105"/>
          <w:sz w:val="18"/>
        </w:rPr>
        <w:t> </w:t>
      </w:r>
      <w:r>
        <w:rPr>
          <w:color w:val="2A2A2A"/>
          <w:w w:val="105"/>
          <w:sz w:val="18"/>
        </w:rPr>
        <w:t>capacity</w:t>
      </w:r>
      <w:r>
        <w:rPr>
          <w:color w:val="2A2A2A"/>
          <w:spacing w:val="-9"/>
          <w:w w:val="105"/>
          <w:sz w:val="18"/>
        </w:rPr>
        <w:t> </w:t>
      </w:r>
      <w:r>
        <w:rPr>
          <w:color w:val="2A2A2A"/>
          <w:w w:val="105"/>
          <w:sz w:val="18"/>
        </w:rPr>
        <w:t>to</w:t>
      </w:r>
      <w:r>
        <w:rPr>
          <w:color w:val="2A2A2A"/>
          <w:spacing w:val="-19"/>
          <w:w w:val="105"/>
          <w:sz w:val="18"/>
        </w:rPr>
        <w:t> </w:t>
      </w:r>
      <w:r>
        <w:rPr>
          <w:color w:val="2A2A2A"/>
          <w:w w:val="105"/>
          <w:sz w:val="18"/>
        </w:rPr>
        <w:t>put</w:t>
      </w:r>
      <w:r>
        <w:rPr>
          <w:color w:val="2A2A2A"/>
          <w:spacing w:val="5"/>
          <w:w w:val="105"/>
          <w:sz w:val="18"/>
        </w:rPr>
        <w:t> </w:t>
      </w:r>
      <w:r>
        <w:rPr>
          <w:color w:val="2A2A2A"/>
          <w:w w:val="105"/>
          <w:sz w:val="18"/>
        </w:rPr>
        <w:t>aside</w:t>
      </w:r>
      <w:r>
        <w:rPr>
          <w:color w:val="2A2A2A"/>
          <w:spacing w:val="-10"/>
          <w:w w:val="105"/>
          <w:sz w:val="18"/>
        </w:rPr>
        <w:t> </w:t>
      </w:r>
      <w:r>
        <w:rPr>
          <w:color w:val="2A2A2A"/>
          <w:w w:val="105"/>
          <w:sz w:val="18"/>
        </w:rPr>
        <w:t>cash</w:t>
      </w:r>
      <w:r>
        <w:rPr>
          <w:color w:val="2A2A2A"/>
          <w:spacing w:val="-7"/>
          <w:w w:val="105"/>
          <w:sz w:val="18"/>
        </w:rPr>
        <w:t> </w:t>
      </w:r>
      <w:r>
        <w:rPr>
          <w:color w:val="2A2A2A"/>
          <w:w w:val="105"/>
          <w:sz w:val="18"/>
        </w:rPr>
        <w:t>reserves</w:t>
      </w:r>
      <w:r>
        <w:rPr>
          <w:color w:val="2A2A2A"/>
          <w:spacing w:val="-5"/>
          <w:w w:val="105"/>
          <w:sz w:val="18"/>
        </w:rPr>
        <w:t> </w:t>
      </w:r>
      <w:r>
        <w:rPr>
          <w:color w:val="2A2A2A"/>
          <w:w w:val="105"/>
          <w:sz w:val="18"/>
        </w:rPr>
        <w:t>to</w:t>
      </w:r>
      <w:r>
        <w:rPr>
          <w:color w:val="2A2A2A"/>
          <w:spacing w:val="-17"/>
          <w:w w:val="105"/>
          <w:sz w:val="18"/>
        </w:rPr>
        <w:t> </w:t>
      </w:r>
      <w:r>
        <w:rPr>
          <w:color w:val="1C1C1C"/>
          <w:w w:val="105"/>
          <w:sz w:val="18"/>
        </w:rPr>
        <w:t>cover</w:t>
      </w:r>
      <w:r>
        <w:rPr>
          <w:color w:val="1C1C1C"/>
          <w:spacing w:val="-1"/>
          <w:w w:val="105"/>
          <w:sz w:val="18"/>
        </w:rPr>
        <w:t> </w:t>
      </w:r>
      <w:r>
        <w:rPr>
          <w:color w:val="2A2A2A"/>
          <w:w w:val="105"/>
          <w:sz w:val="18"/>
        </w:rPr>
        <w:t>these</w:t>
      </w:r>
      <w:r>
        <w:rPr>
          <w:color w:val="2A2A2A"/>
          <w:spacing w:val="-13"/>
          <w:w w:val="105"/>
          <w:sz w:val="18"/>
        </w:rPr>
        <w:t> </w:t>
      </w:r>
      <w:r>
        <w:rPr>
          <w:color w:val="2A2A2A"/>
          <w:w w:val="105"/>
          <w:sz w:val="18"/>
        </w:rPr>
        <w:t>expenses.</w:t>
      </w:r>
    </w:p>
    <w:p>
      <w:pPr>
        <w:spacing w:line="261" w:lineRule="auto" w:before="8"/>
        <w:ind w:left="2578" w:right="832" w:firstLine="3"/>
        <w:jc w:val="left"/>
        <w:rPr>
          <w:sz w:val="18"/>
        </w:rPr>
      </w:pPr>
      <w:r>
        <w:rPr>
          <w:color w:val="2A2A2A"/>
          <w:w w:val="105"/>
          <w:sz w:val="18"/>
        </w:rPr>
        <w:t>Component</w:t>
      </w:r>
      <w:r>
        <w:rPr>
          <w:color w:val="2A2A2A"/>
          <w:spacing w:val="-10"/>
          <w:w w:val="105"/>
          <w:sz w:val="18"/>
        </w:rPr>
        <w:t> </w:t>
      </w:r>
      <w:r>
        <w:rPr>
          <w:color w:val="2A2A2A"/>
          <w:w w:val="105"/>
          <w:sz w:val="18"/>
        </w:rPr>
        <w:t>parts</w:t>
      </w:r>
      <w:r>
        <w:rPr>
          <w:color w:val="2A2A2A"/>
          <w:spacing w:val="-20"/>
          <w:w w:val="105"/>
          <w:sz w:val="18"/>
        </w:rPr>
        <w:t> </w:t>
      </w:r>
      <w:r>
        <w:rPr>
          <w:color w:val="2A2A2A"/>
          <w:w w:val="105"/>
          <w:sz w:val="18"/>
        </w:rPr>
        <w:t>will</w:t>
      </w:r>
      <w:r>
        <w:rPr>
          <w:color w:val="2A2A2A"/>
          <w:spacing w:val="-20"/>
          <w:w w:val="105"/>
          <w:sz w:val="18"/>
        </w:rPr>
        <w:t> </w:t>
      </w:r>
      <w:r>
        <w:rPr>
          <w:color w:val="2A2A2A"/>
          <w:w w:val="105"/>
          <w:sz w:val="18"/>
        </w:rPr>
        <w:t>be</w:t>
      </w:r>
      <w:r>
        <w:rPr>
          <w:color w:val="2A2A2A"/>
          <w:spacing w:val="-13"/>
          <w:w w:val="105"/>
          <w:sz w:val="18"/>
        </w:rPr>
        <w:t> </w:t>
      </w:r>
      <w:r>
        <w:rPr>
          <w:color w:val="1C1C1C"/>
          <w:w w:val="105"/>
          <w:sz w:val="18"/>
        </w:rPr>
        <w:t>grouped</w:t>
      </w:r>
      <w:r>
        <w:rPr>
          <w:color w:val="1C1C1C"/>
          <w:spacing w:val="-12"/>
          <w:w w:val="105"/>
          <w:sz w:val="18"/>
        </w:rPr>
        <w:t> </w:t>
      </w:r>
      <w:r>
        <w:rPr>
          <w:color w:val="3B3B3B"/>
          <w:w w:val="105"/>
          <w:sz w:val="18"/>
        </w:rPr>
        <w:t>together</w:t>
      </w:r>
      <w:r>
        <w:rPr>
          <w:color w:val="3B3B3B"/>
          <w:spacing w:val="-18"/>
          <w:w w:val="105"/>
          <w:sz w:val="18"/>
        </w:rPr>
        <w:t> </w:t>
      </w:r>
      <w:r>
        <w:rPr>
          <w:color w:val="3B3B3B"/>
          <w:w w:val="105"/>
          <w:sz w:val="18"/>
        </w:rPr>
        <w:t>to</w:t>
      </w:r>
      <w:r>
        <w:rPr>
          <w:color w:val="3B3B3B"/>
          <w:spacing w:val="5"/>
          <w:w w:val="105"/>
          <w:sz w:val="18"/>
        </w:rPr>
        <w:t> </w:t>
      </w:r>
      <w:r>
        <w:rPr>
          <w:color w:val="2A2A2A"/>
          <w:w w:val="105"/>
          <w:sz w:val="18"/>
        </w:rPr>
        <w:t>determine</w:t>
      </w:r>
      <w:r>
        <w:rPr>
          <w:color w:val="2A2A2A"/>
          <w:spacing w:val="-11"/>
          <w:w w:val="105"/>
          <w:sz w:val="18"/>
        </w:rPr>
        <w:t> </w:t>
      </w:r>
      <w:r>
        <w:rPr>
          <w:color w:val="3B3B3B"/>
          <w:w w:val="105"/>
          <w:sz w:val="18"/>
        </w:rPr>
        <w:t>the</w:t>
      </w:r>
      <w:r>
        <w:rPr>
          <w:color w:val="3B3B3B"/>
          <w:spacing w:val="-16"/>
          <w:w w:val="105"/>
          <w:sz w:val="18"/>
        </w:rPr>
        <w:t> </w:t>
      </w:r>
      <w:r>
        <w:rPr>
          <w:color w:val="2A2A2A"/>
          <w:w w:val="105"/>
          <w:sz w:val="18"/>
        </w:rPr>
        <w:t>value</w:t>
      </w:r>
      <w:r>
        <w:rPr>
          <w:color w:val="2A2A2A"/>
          <w:spacing w:val="-17"/>
          <w:w w:val="105"/>
          <w:sz w:val="18"/>
        </w:rPr>
        <w:t> </w:t>
      </w:r>
      <w:r>
        <w:rPr>
          <w:color w:val="3B3B3B"/>
          <w:w w:val="105"/>
          <w:sz w:val="18"/>
        </w:rPr>
        <w:t>to</w:t>
      </w:r>
      <w:r>
        <w:rPr>
          <w:color w:val="3B3B3B"/>
          <w:spacing w:val="-20"/>
          <w:w w:val="105"/>
          <w:sz w:val="18"/>
        </w:rPr>
        <w:t> </w:t>
      </w:r>
      <w:r>
        <w:rPr>
          <w:color w:val="2A2A2A"/>
          <w:w w:val="105"/>
          <w:sz w:val="18"/>
        </w:rPr>
        <w:t>be</w:t>
      </w:r>
      <w:r>
        <w:rPr>
          <w:color w:val="2A2A2A"/>
          <w:spacing w:val="-29"/>
          <w:w w:val="105"/>
          <w:sz w:val="18"/>
        </w:rPr>
        <w:t> </w:t>
      </w:r>
      <w:r>
        <w:rPr>
          <w:color w:val="2A2A2A"/>
          <w:w w:val="105"/>
          <w:sz w:val="18"/>
        </w:rPr>
        <w:t>used</w:t>
      </w:r>
      <w:r>
        <w:rPr>
          <w:color w:val="2A2A2A"/>
          <w:spacing w:val="-25"/>
          <w:w w:val="105"/>
          <w:sz w:val="18"/>
        </w:rPr>
        <w:t> </w:t>
      </w:r>
      <w:r>
        <w:rPr>
          <w:color w:val="2A2A2A"/>
          <w:w w:val="105"/>
          <w:sz w:val="18"/>
        </w:rPr>
        <w:t>in</w:t>
      </w:r>
      <w:r>
        <w:rPr>
          <w:color w:val="2A2A2A"/>
          <w:spacing w:val="-19"/>
          <w:w w:val="105"/>
          <w:sz w:val="18"/>
        </w:rPr>
        <w:t> </w:t>
      </w:r>
      <w:r>
        <w:rPr>
          <w:color w:val="2A2A2A"/>
          <w:w w:val="105"/>
          <w:sz w:val="18"/>
        </w:rPr>
        <w:t>determining the $5,000</w:t>
      </w:r>
      <w:r>
        <w:rPr>
          <w:color w:val="2A2A2A"/>
          <w:spacing w:val="-1"/>
          <w:w w:val="105"/>
          <w:sz w:val="18"/>
        </w:rPr>
        <w:t> </w:t>
      </w:r>
      <w:r>
        <w:rPr>
          <w:color w:val="2A2A2A"/>
          <w:w w:val="105"/>
          <w:sz w:val="18"/>
        </w:rPr>
        <w:t>limit.</w:t>
      </w:r>
    </w:p>
    <w:p>
      <w:pPr>
        <w:spacing w:after="0" w:line="261" w:lineRule="auto"/>
        <w:jc w:val="left"/>
        <w:rPr>
          <w:sz w:val="18"/>
        </w:rPr>
        <w:sectPr>
          <w:pgSz w:w="11910" w:h="16840"/>
          <w:pgMar w:header="0" w:footer="1209" w:top="1580" w:bottom="1420" w:left="480" w:right="380"/>
        </w:sectPr>
      </w:pPr>
    </w:p>
    <w:p>
      <w:pPr>
        <w:spacing w:before="77"/>
        <w:ind w:left="2982" w:right="2931" w:firstLine="0"/>
        <w:jc w:val="center"/>
        <w:rPr>
          <w:b/>
          <w:sz w:val="18"/>
        </w:rPr>
      </w:pPr>
      <w:r>
        <w:rPr>
          <w:b/>
          <w:color w:val="2A2A2A"/>
          <w:sz w:val="18"/>
        </w:rPr>
        <w:t>PEOPLE WITH DISABILITIES </w:t>
      </w:r>
      <w:r>
        <w:rPr>
          <w:b/>
          <w:color w:val="2A2A2A"/>
          <w:sz w:val="18"/>
          <w:u w:val="thick" w:color="2A2A2A"/>
        </w:rPr>
        <w:t>(WA)</w:t>
      </w:r>
      <w:r>
        <w:rPr>
          <w:b/>
          <w:color w:val="2A2A2A"/>
          <w:sz w:val="18"/>
        </w:rPr>
        <w:t> Inc</w:t>
      </w:r>
    </w:p>
    <w:p>
      <w:pPr>
        <w:pStyle w:val="BodyText"/>
        <w:spacing w:before="5"/>
        <w:rPr>
          <w:b/>
          <w:sz w:val="20"/>
        </w:rPr>
      </w:pPr>
    </w:p>
    <w:p>
      <w:pPr>
        <w:tabs>
          <w:tab w:pos="3246" w:val="left" w:leader="none"/>
          <w:tab w:pos="9091" w:val="left" w:leader="none"/>
        </w:tabs>
        <w:spacing w:before="0"/>
        <w:ind w:left="1471" w:right="0" w:firstLine="0"/>
        <w:jc w:val="left"/>
        <w:rPr>
          <w:b/>
          <w:sz w:val="18"/>
        </w:rPr>
      </w:pPr>
      <w:r>
        <w:rPr>
          <w:b/>
          <w:color w:val="2A2A2A"/>
          <w:w w:val="100"/>
          <w:sz w:val="18"/>
          <w:u w:val="single" w:color="000000"/>
        </w:rPr>
        <w:t> </w:t>
      </w:r>
      <w:r>
        <w:rPr>
          <w:b/>
          <w:color w:val="2A2A2A"/>
          <w:sz w:val="18"/>
          <w:u w:val="single" w:color="000000"/>
        </w:rPr>
        <w:tab/>
        <w:t>NOTES</w:t>
      </w:r>
      <w:r>
        <w:rPr>
          <w:b/>
          <w:color w:val="2A2A2A"/>
          <w:spacing w:val="3"/>
          <w:sz w:val="18"/>
          <w:u w:val="single" w:color="000000"/>
        </w:rPr>
        <w:t> </w:t>
      </w:r>
      <w:r>
        <w:rPr>
          <w:b/>
          <w:color w:val="2A2A2A"/>
          <w:sz w:val="18"/>
          <w:u w:val="single" w:color="000000"/>
        </w:rPr>
        <w:t>TO</w:t>
      </w:r>
      <w:r>
        <w:rPr>
          <w:b/>
          <w:color w:val="2A2A2A"/>
          <w:spacing w:val="0"/>
          <w:sz w:val="18"/>
          <w:u w:val="single" w:color="000000"/>
        </w:rPr>
        <w:t> </w:t>
      </w:r>
      <w:r>
        <w:rPr>
          <w:b/>
          <w:color w:val="2A2A2A"/>
          <w:sz w:val="18"/>
          <w:u w:val="single" w:color="000000"/>
        </w:rPr>
        <w:t>AND</w:t>
      </w:r>
      <w:r>
        <w:rPr>
          <w:b/>
          <w:color w:val="2A2A2A"/>
          <w:spacing w:val="-11"/>
          <w:sz w:val="18"/>
          <w:u w:val="single" w:color="000000"/>
        </w:rPr>
        <w:t> </w:t>
      </w:r>
      <w:r>
        <w:rPr>
          <w:b/>
          <w:color w:val="2A2A2A"/>
          <w:sz w:val="18"/>
          <w:u w:val="single" w:color="000000"/>
        </w:rPr>
        <w:t>FORM</w:t>
      </w:r>
      <w:r>
        <w:rPr>
          <w:b/>
          <w:color w:val="2A2A2A"/>
          <w:spacing w:val="-34"/>
          <w:sz w:val="18"/>
          <w:u w:val="single" w:color="000000"/>
        </w:rPr>
        <w:t> </w:t>
      </w:r>
      <w:r>
        <w:rPr>
          <w:b/>
          <w:color w:val="0F0F0F"/>
          <w:sz w:val="18"/>
          <w:u w:val="single" w:color="000000"/>
        </w:rPr>
        <w:t>I</w:t>
      </w:r>
      <w:r>
        <w:rPr>
          <w:b/>
          <w:color w:val="2A2A2A"/>
          <w:sz w:val="18"/>
          <w:u w:val="single" w:color="000000"/>
        </w:rPr>
        <w:t>NG</w:t>
      </w:r>
      <w:r>
        <w:rPr>
          <w:b/>
          <w:color w:val="2A2A2A"/>
          <w:spacing w:val="-14"/>
          <w:sz w:val="18"/>
          <w:u w:val="single" w:color="000000"/>
        </w:rPr>
        <w:t> </w:t>
      </w:r>
      <w:r>
        <w:rPr>
          <w:b/>
          <w:color w:val="2A2A2A"/>
          <w:sz w:val="18"/>
          <w:u w:val="single" w:color="000000"/>
        </w:rPr>
        <w:t>PART</w:t>
      </w:r>
      <w:r>
        <w:rPr>
          <w:b/>
          <w:color w:val="2A2A2A"/>
          <w:spacing w:val="-4"/>
          <w:sz w:val="18"/>
          <w:u w:val="single" w:color="000000"/>
        </w:rPr>
        <w:t> </w:t>
      </w:r>
      <w:r>
        <w:rPr>
          <w:b/>
          <w:color w:val="2A2A2A"/>
          <w:sz w:val="18"/>
          <w:u w:val="single" w:color="000000"/>
        </w:rPr>
        <w:t>OF</w:t>
      </w:r>
      <w:r>
        <w:rPr>
          <w:b/>
          <w:color w:val="2A2A2A"/>
          <w:spacing w:val="-4"/>
          <w:sz w:val="18"/>
          <w:u w:val="single" w:color="000000"/>
        </w:rPr>
        <w:t> </w:t>
      </w:r>
      <w:r>
        <w:rPr>
          <w:b/>
          <w:color w:val="2A2A2A"/>
          <w:sz w:val="18"/>
          <w:u w:val="single" w:color="000000"/>
        </w:rPr>
        <w:t>THE</w:t>
      </w:r>
      <w:r>
        <w:rPr>
          <w:b/>
          <w:color w:val="2A2A2A"/>
          <w:spacing w:val="2"/>
          <w:sz w:val="18"/>
          <w:u w:val="single" w:color="000000"/>
        </w:rPr>
        <w:t> </w:t>
      </w:r>
      <w:r>
        <w:rPr>
          <w:b/>
          <w:color w:val="2A2A2A"/>
          <w:sz w:val="18"/>
          <w:u w:val="single" w:color="000000"/>
        </w:rPr>
        <w:t>ACCOUNTS</w:t>
        <w:tab/>
      </w:r>
    </w:p>
    <w:p>
      <w:pPr>
        <w:spacing w:before="19"/>
        <w:ind w:left="3659" w:right="0" w:firstLine="0"/>
        <w:jc w:val="left"/>
        <w:rPr>
          <w:b/>
          <w:sz w:val="18"/>
        </w:rPr>
      </w:pPr>
      <w:r>
        <w:rPr>
          <w:b/>
          <w:color w:val="2A2A2A"/>
          <w:sz w:val="18"/>
        </w:rPr>
        <w:t>For the </w:t>
      </w:r>
      <w:r>
        <w:rPr>
          <w:b/>
          <w:color w:val="2A2A2A"/>
          <w:sz w:val="18"/>
          <w:u w:val="thick" w:color="2A2A2A"/>
        </w:rPr>
        <w:t>year</w:t>
      </w:r>
      <w:r>
        <w:rPr>
          <w:b/>
          <w:color w:val="2A2A2A"/>
          <w:sz w:val="18"/>
        </w:rPr>
        <w:t> ended 30/06/2011</w:t>
      </w:r>
    </w:p>
    <w:p>
      <w:pPr>
        <w:pStyle w:val="BodyText"/>
        <w:spacing w:before="9"/>
        <w:rPr>
          <w:b/>
          <w:sz w:val="21"/>
        </w:rPr>
      </w:pPr>
    </w:p>
    <w:tbl>
      <w:tblPr>
        <w:tblW w:w="0" w:type="auto"/>
        <w:jc w:val="left"/>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
        <w:gridCol w:w="3881"/>
        <w:gridCol w:w="2095"/>
        <w:gridCol w:w="1628"/>
        <w:gridCol w:w="1370"/>
      </w:tblGrid>
      <w:tr>
        <w:trPr>
          <w:trHeight w:val="785" w:hRule="atLeast"/>
        </w:trPr>
        <w:tc>
          <w:tcPr>
            <w:tcW w:w="374" w:type="dxa"/>
          </w:tcPr>
          <w:p>
            <w:pPr>
              <w:pStyle w:val="TableParagraph"/>
              <w:spacing w:line="206" w:lineRule="exact"/>
              <w:ind w:left="50"/>
              <w:rPr>
                <w:b/>
                <w:sz w:val="18"/>
              </w:rPr>
            </w:pPr>
            <w:r>
              <w:rPr>
                <w:b/>
                <w:color w:val="2A2A2A"/>
                <w:w w:val="109"/>
                <w:sz w:val="18"/>
              </w:rPr>
              <w:t>2</w:t>
            </w:r>
          </w:p>
        </w:tc>
        <w:tc>
          <w:tcPr>
            <w:tcW w:w="3881" w:type="dxa"/>
          </w:tcPr>
          <w:p>
            <w:pPr>
              <w:pStyle w:val="TableParagraph"/>
              <w:spacing w:line="201" w:lineRule="exact"/>
              <w:ind w:left="215"/>
              <w:rPr>
                <w:b/>
                <w:sz w:val="18"/>
              </w:rPr>
            </w:pPr>
            <w:r>
              <w:rPr>
                <w:b/>
                <w:color w:val="2A2A2A"/>
                <w:sz w:val="18"/>
              </w:rPr>
              <w:t>Plant/Equipment and Vehicles</w:t>
            </w:r>
          </w:p>
          <w:p>
            <w:pPr>
              <w:pStyle w:val="TableParagraph"/>
              <w:spacing w:before="8"/>
              <w:rPr>
                <w:b/>
                <w:sz w:val="21"/>
              </w:rPr>
            </w:pPr>
          </w:p>
          <w:p>
            <w:pPr>
              <w:pStyle w:val="TableParagraph"/>
              <w:ind w:left="214"/>
              <w:rPr>
                <w:b/>
                <w:sz w:val="18"/>
              </w:rPr>
            </w:pPr>
            <w:r>
              <w:rPr>
                <w:b/>
                <w:color w:val="2A2A2A"/>
                <w:sz w:val="18"/>
              </w:rPr>
              <w:t>Gross Carrying Amount</w:t>
            </w:r>
          </w:p>
        </w:tc>
        <w:tc>
          <w:tcPr>
            <w:tcW w:w="2095" w:type="dxa"/>
          </w:tcPr>
          <w:p>
            <w:pPr>
              <w:pStyle w:val="TableParagraph"/>
              <w:rPr>
                <w:b/>
                <w:sz w:val="18"/>
              </w:rPr>
            </w:pPr>
          </w:p>
          <w:p>
            <w:pPr>
              <w:pStyle w:val="TableParagraph"/>
              <w:rPr>
                <w:b/>
                <w:sz w:val="22"/>
              </w:rPr>
            </w:pPr>
          </w:p>
          <w:p>
            <w:pPr>
              <w:pStyle w:val="TableParagraph"/>
              <w:ind w:right="1002"/>
              <w:jc w:val="right"/>
              <w:rPr>
                <w:sz w:val="17"/>
              </w:rPr>
            </w:pPr>
            <w:r>
              <w:rPr>
                <w:color w:val="2A2A2A"/>
                <w:w w:val="105"/>
                <w:sz w:val="17"/>
              </w:rPr>
              <w:t>Plant/equip</w:t>
            </w:r>
          </w:p>
        </w:tc>
        <w:tc>
          <w:tcPr>
            <w:tcW w:w="1628" w:type="dxa"/>
          </w:tcPr>
          <w:p>
            <w:pPr>
              <w:pStyle w:val="TableParagraph"/>
              <w:rPr>
                <w:b/>
                <w:sz w:val="18"/>
              </w:rPr>
            </w:pPr>
          </w:p>
          <w:p>
            <w:pPr>
              <w:pStyle w:val="TableParagraph"/>
              <w:spacing w:before="6"/>
              <w:rPr>
                <w:b/>
                <w:sz w:val="21"/>
              </w:rPr>
            </w:pPr>
          </w:p>
          <w:p>
            <w:pPr>
              <w:pStyle w:val="TableParagraph"/>
              <w:spacing w:before="1"/>
              <w:ind w:right="704"/>
              <w:jc w:val="right"/>
              <w:rPr>
                <w:sz w:val="17"/>
              </w:rPr>
            </w:pPr>
            <w:r>
              <w:rPr>
                <w:color w:val="2A2A2A"/>
                <w:w w:val="105"/>
                <w:sz w:val="17"/>
              </w:rPr>
              <w:t>Vehicles</w:t>
            </w:r>
          </w:p>
        </w:tc>
        <w:tc>
          <w:tcPr>
            <w:tcW w:w="1370" w:type="dxa"/>
          </w:tcPr>
          <w:p>
            <w:pPr>
              <w:pStyle w:val="TableParagraph"/>
              <w:rPr>
                <w:b/>
                <w:sz w:val="18"/>
              </w:rPr>
            </w:pPr>
          </w:p>
          <w:p>
            <w:pPr>
              <w:pStyle w:val="TableParagraph"/>
              <w:spacing w:before="2"/>
              <w:rPr>
                <w:b/>
                <w:sz w:val="21"/>
              </w:rPr>
            </w:pPr>
          </w:p>
          <w:p>
            <w:pPr>
              <w:pStyle w:val="TableParagraph"/>
              <w:ind w:left="676"/>
              <w:rPr>
                <w:sz w:val="17"/>
              </w:rPr>
            </w:pPr>
            <w:r>
              <w:rPr>
                <w:color w:val="2A2A2A"/>
                <w:w w:val="110"/>
                <w:sz w:val="17"/>
              </w:rPr>
              <w:t>Total</w:t>
            </w:r>
          </w:p>
        </w:tc>
      </w:tr>
      <w:tr>
        <w:trPr>
          <w:trHeight w:val="340" w:hRule="atLeast"/>
        </w:trPr>
        <w:tc>
          <w:tcPr>
            <w:tcW w:w="374" w:type="dxa"/>
          </w:tcPr>
          <w:p>
            <w:pPr>
              <w:pStyle w:val="TableParagraph"/>
              <w:rPr>
                <w:rFonts w:ascii="Times New Roman"/>
                <w:sz w:val="16"/>
              </w:rPr>
            </w:pPr>
          </w:p>
        </w:tc>
        <w:tc>
          <w:tcPr>
            <w:tcW w:w="3881" w:type="dxa"/>
          </w:tcPr>
          <w:p>
            <w:pPr>
              <w:pStyle w:val="TableParagraph"/>
              <w:spacing w:line="193" w:lineRule="exact" w:before="126"/>
              <w:ind w:left="216"/>
              <w:rPr>
                <w:sz w:val="17"/>
              </w:rPr>
            </w:pPr>
            <w:r>
              <w:rPr>
                <w:color w:val="2A2A2A"/>
                <w:w w:val="110"/>
                <w:sz w:val="17"/>
              </w:rPr>
              <w:t>Balance as at 30 June 2010</w:t>
            </w:r>
          </w:p>
        </w:tc>
        <w:tc>
          <w:tcPr>
            <w:tcW w:w="2095" w:type="dxa"/>
          </w:tcPr>
          <w:p>
            <w:pPr>
              <w:pStyle w:val="TableParagraph"/>
              <w:spacing w:line="193" w:lineRule="exact" w:before="126"/>
              <w:ind w:right="1001"/>
              <w:jc w:val="right"/>
              <w:rPr>
                <w:sz w:val="17"/>
              </w:rPr>
            </w:pPr>
            <w:r>
              <w:rPr>
                <w:color w:val="2A2A2A"/>
                <w:sz w:val="17"/>
              </w:rPr>
              <w:t>60</w:t>
            </w:r>
            <w:r>
              <w:rPr>
                <w:color w:val="4B4B4B"/>
                <w:sz w:val="17"/>
              </w:rPr>
              <w:t>,</w:t>
            </w:r>
            <w:r>
              <w:rPr>
                <w:color w:val="2A2A2A"/>
                <w:sz w:val="17"/>
              </w:rPr>
              <w:t>960</w:t>
            </w:r>
          </w:p>
        </w:tc>
        <w:tc>
          <w:tcPr>
            <w:tcW w:w="1628" w:type="dxa"/>
          </w:tcPr>
          <w:p>
            <w:pPr>
              <w:pStyle w:val="TableParagraph"/>
              <w:spacing w:line="189" w:lineRule="exact" w:before="131"/>
              <w:ind w:right="647"/>
              <w:jc w:val="right"/>
              <w:rPr>
                <w:sz w:val="17"/>
              </w:rPr>
            </w:pPr>
            <w:r>
              <w:rPr>
                <w:color w:val="2A2A2A"/>
                <w:w w:val="105"/>
                <w:sz w:val="17"/>
              </w:rPr>
              <w:t>33,714</w:t>
            </w:r>
          </w:p>
        </w:tc>
        <w:tc>
          <w:tcPr>
            <w:tcW w:w="1370" w:type="dxa"/>
          </w:tcPr>
          <w:p>
            <w:pPr>
              <w:pStyle w:val="TableParagraph"/>
              <w:spacing w:line="193" w:lineRule="exact" w:before="126"/>
              <w:ind w:right="76"/>
              <w:jc w:val="right"/>
              <w:rPr>
                <w:sz w:val="17"/>
              </w:rPr>
            </w:pPr>
            <w:r>
              <w:rPr>
                <w:color w:val="2A2A2A"/>
                <w:w w:val="105"/>
                <w:sz w:val="17"/>
              </w:rPr>
              <w:t>94,674</w:t>
            </w:r>
          </w:p>
        </w:tc>
      </w:tr>
      <w:tr>
        <w:trPr>
          <w:trHeight w:val="221" w:hRule="atLeast"/>
        </w:trPr>
        <w:tc>
          <w:tcPr>
            <w:tcW w:w="374" w:type="dxa"/>
          </w:tcPr>
          <w:p>
            <w:pPr>
              <w:pStyle w:val="TableParagraph"/>
              <w:rPr>
                <w:rFonts w:ascii="Times New Roman"/>
                <w:sz w:val="14"/>
              </w:rPr>
            </w:pPr>
          </w:p>
        </w:tc>
        <w:tc>
          <w:tcPr>
            <w:tcW w:w="3881" w:type="dxa"/>
          </w:tcPr>
          <w:p>
            <w:pPr>
              <w:pStyle w:val="TableParagraph"/>
              <w:spacing w:line="193" w:lineRule="exact" w:before="7"/>
              <w:ind w:left="223"/>
              <w:rPr>
                <w:sz w:val="17"/>
              </w:rPr>
            </w:pPr>
            <w:r>
              <w:rPr>
                <w:color w:val="2A2A2A"/>
                <w:w w:val="105"/>
                <w:sz w:val="17"/>
              </w:rPr>
              <w:t>Additions</w:t>
            </w:r>
          </w:p>
        </w:tc>
        <w:tc>
          <w:tcPr>
            <w:tcW w:w="2095" w:type="dxa"/>
          </w:tcPr>
          <w:p>
            <w:pPr>
              <w:pStyle w:val="TableParagraph"/>
              <w:spacing w:line="193" w:lineRule="exact" w:before="7"/>
              <w:ind w:right="992"/>
              <w:jc w:val="right"/>
              <w:rPr>
                <w:sz w:val="17"/>
              </w:rPr>
            </w:pPr>
            <w:r>
              <w:rPr>
                <w:color w:val="2A2A2A"/>
                <w:w w:val="105"/>
                <w:sz w:val="17"/>
              </w:rPr>
              <w:t>15,170</w:t>
            </w:r>
          </w:p>
        </w:tc>
        <w:tc>
          <w:tcPr>
            <w:tcW w:w="1628" w:type="dxa"/>
          </w:tcPr>
          <w:p>
            <w:pPr>
              <w:pStyle w:val="TableParagraph"/>
              <w:rPr>
                <w:rFonts w:ascii="Times New Roman"/>
                <w:sz w:val="14"/>
              </w:rPr>
            </w:pPr>
          </w:p>
        </w:tc>
        <w:tc>
          <w:tcPr>
            <w:tcW w:w="1370" w:type="dxa"/>
          </w:tcPr>
          <w:p>
            <w:pPr>
              <w:pStyle w:val="TableParagraph"/>
              <w:spacing w:line="193" w:lineRule="exact" w:before="7"/>
              <w:ind w:right="67"/>
              <w:jc w:val="right"/>
              <w:rPr>
                <w:sz w:val="17"/>
              </w:rPr>
            </w:pPr>
            <w:r>
              <w:rPr>
                <w:color w:val="2A2A2A"/>
                <w:w w:val="105"/>
                <w:sz w:val="17"/>
              </w:rPr>
              <w:t>15,170</w:t>
            </w:r>
          </w:p>
        </w:tc>
      </w:tr>
      <w:tr>
        <w:trPr>
          <w:trHeight w:val="205" w:hRule="atLeast"/>
        </w:trPr>
        <w:tc>
          <w:tcPr>
            <w:tcW w:w="374" w:type="dxa"/>
          </w:tcPr>
          <w:p>
            <w:pPr>
              <w:pStyle w:val="TableParagraph"/>
              <w:rPr>
                <w:rFonts w:ascii="Times New Roman"/>
                <w:sz w:val="14"/>
              </w:rPr>
            </w:pPr>
          </w:p>
        </w:tc>
        <w:tc>
          <w:tcPr>
            <w:tcW w:w="3881" w:type="dxa"/>
          </w:tcPr>
          <w:p>
            <w:pPr>
              <w:pStyle w:val="TableParagraph"/>
              <w:spacing w:line="173" w:lineRule="exact" w:before="12"/>
              <w:ind w:left="224"/>
              <w:rPr>
                <w:sz w:val="17"/>
              </w:rPr>
            </w:pPr>
            <w:r>
              <w:rPr>
                <w:color w:val="2A2A2A"/>
                <w:w w:val="110"/>
                <w:sz w:val="17"/>
              </w:rPr>
              <w:t>Disposals</w:t>
            </w:r>
          </w:p>
        </w:tc>
        <w:tc>
          <w:tcPr>
            <w:tcW w:w="2095" w:type="dxa"/>
            <w:tcBorders>
              <w:bottom w:val="single" w:sz="4" w:space="0" w:color="000000"/>
            </w:tcBorders>
          </w:tcPr>
          <w:p>
            <w:pPr>
              <w:pStyle w:val="TableParagraph"/>
              <w:rPr>
                <w:rFonts w:ascii="Times New Roman"/>
                <w:sz w:val="14"/>
              </w:rPr>
            </w:pPr>
          </w:p>
        </w:tc>
        <w:tc>
          <w:tcPr>
            <w:tcW w:w="1628" w:type="dxa"/>
            <w:tcBorders>
              <w:bottom w:val="single" w:sz="4" w:space="0" w:color="000000"/>
            </w:tcBorders>
          </w:tcPr>
          <w:p>
            <w:pPr>
              <w:pStyle w:val="TableParagraph"/>
              <w:rPr>
                <w:rFonts w:ascii="Times New Roman"/>
                <w:sz w:val="14"/>
              </w:rPr>
            </w:pPr>
          </w:p>
        </w:tc>
        <w:tc>
          <w:tcPr>
            <w:tcW w:w="1370" w:type="dxa"/>
            <w:tcBorders>
              <w:bottom w:val="single" w:sz="4" w:space="0" w:color="000000"/>
            </w:tcBorders>
          </w:tcPr>
          <w:p>
            <w:pPr>
              <w:pStyle w:val="TableParagraph"/>
              <w:rPr>
                <w:rFonts w:ascii="Times New Roman"/>
                <w:sz w:val="14"/>
              </w:rPr>
            </w:pPr>
          </w:p>
        </w:tc>
      </w:tr>
      <w:tr>
        <w:trPr>
          <w:trHeight w:val="215" w:hRule="atLeast"/>
        </w:trPr>
        <w:tc>
          <w:tcPr>
            <w:tcW w:w="374" w:type="dxa"/>
          </w:tcPr>
          <w:p>
            <w:pPr>
              <w:pStyle w:val="TableParagraph"/>
              <w:rPr>
                <w:rFonts w:ascii="Times New Roman"/>
                <w:sz w:val="14"/>
              </w:rPr>
            </w:pPr>
          </w:p>
        </w:tc>
        <w:tc>
          <w:tcPr>
            <w:tcW w:w="3881" w:type="dxa"/>
          </w:tcPr>
          <w:p>
            <w:pPr>
              <w:pStyle w:val="TableParagraph"/>
              <w:spacing w:line="177" w:lineRule="exact" w:before="18"/>
              <w:ind w:left="225"/>
              <w:rPr>
                <w:sz w:val="17"/>
              </w:rPr>
            </w:pPr>
            <w:r>
              <w:rPr>
                <w:color w:val="2A2A2A"/>
                <w:w w:val="110"/>
                <w:sz w:val="17"/>
              </w:rPr>
              <w:t>Balance as at 30 June 20</w:t>
            </w:r>
            <w:r>
              <w:rPr>
                <w:color w:val="4B4B4B"/>
                <w:w w:val="110"/>
                <w:sz w:val="17"/>
              </w:rPr>
              <w:t>1</w:t>
            </w:r>
            <w:r>
              <w:rPr>
                <w:color w:val="2A2A2A"/>
                <w:w w:val="110"/>
                <w:sz w:val="17"/>
              </w:rPr>
              <w:t>1</w:t>
            </w:r>
          </w:p>
        </w:tc>
        <w:tc>
          <w:tcPr>
            <w:tcW w:w="2095" w:type="dxa"/>
            <w:tcBorders>
              <w:top w:val="single" w:sz="4" w:space="0" w:color="000000"/>
              <w:bottom w:val="single" w:sz="12" w:space="0" w:color="000000"/>
            </w:tcBorders>
          </w:tcPr>
          <w:p>
            <w:pPr>
              <w:pStyle w:val="TableParagraph"/>
              <w:spacing w:line="182" w:lineRule="exact" w:before="13"/>
              <w:ind w:right="982"/>
              <w:jc w:val="right"/>
              <w:rPr>
                <w:sz w:val="17"/>
              </w:rPr>
            </w:pPr>
            <w:r>
              <w:rPr>
                <w:color w:val="2A2A2A"/>
                <w:w w:val="105"/>
                <w:sz w:val="17"/>
              </w:rPr>
              <w:t>76</w:t>
            </w:r>
            <w:r>
              <w:rPr>
                <w:color w:val="4B4B4B"/>
                <w:w w:val="105"/>
                <w:sz w:val="17"/>
              </w:rPr>
              <w:t>,</w:t>
            </w:r>
            <w:r>
              <w:rPr>
                <w:color w:val="2A2A2A"/>
                <w:w w:val="105"/>
                <w:sz w:val="17"/>
              </w:rPr>
              <w:t>130</w:t>
            </w:r>
          </w:p>
        </w:tc>
        <w:tc>
          <w:tcPr>
            <w:tcW w:w="1628" w:type="dxa"/>
            <w:tcBorders>
              <w:top w:val="single" w:sz="4" w:space="0" w:color="000000"/>
              <w:bottom w:val="single" w:sz="12" w:space="0" w:color="000000"/>
            </w:tcBorders>
          </w:tcPr>
          <w:p>
            <w:pPr>
              <w:pStyle w:val="TableParagraph"/>
              <w:spacing w:line="182" w:lineRule="exact" w:before="13"/>
              <w:ind w:right="647"/>
              <w:jc w:val="right"/>
              <w:rPr>
                <w:sz w:val="17"/>
              </w:rPr>
            </w:pPr>
            <w:r>
              <w:rPr>
                <w:color w:val="2A2A2A"/>
                <w:w w:val="105"/>
                <w:sz w:val="17"/>
              </w:rPr>
              <w:t>33,714</w:t>
            </w:r>
          </w:p>
        </w:tc>
        <w:tc>
          <w:tcPr>
            <w:tcW w:w="1370" w:type="dxa"/>
            <w:tcBorders>
              <w:top w:val="single" w:sz="4" w:space="0" w:color="000000"/>
              <w:bottom w:val="single" w:sz="12" w:space="0" w:color="000000"/>
            </w:tcBorders>
          </w:tcPr>
          <w:p>
            <w:pPr>
              <w:pStyle w:val="TableParagraph"/>
              <w:spacing w:line="177" w:lineRule="exact" w:before="18"/>
              <w:ind w:right="76"/>
              <w:jc w:val="right"/>
              <w:rPr>
                <w:b/>
                <w:sz w:val="17"/>
              </w:rPr>
            </w:pPr>
            <w:r>
              <w:rPr>
                <w:b/>
                <w:color w:val="2A2A2A"/>
                <w:sz w:val="17"/>
              </w:rPr>
              <w:t>109,844</w:t>
            </w:r>
          </w:p>
        </w:tc>
      </w:tr>
    </w:tbl>
    <w:p>
      <w:pPr>
        <w:pStyle w:val="BodyText"/>
        <w:spacing w:before="8"/>
        <w:rPr>
          <w:b/>
          <w:sz w:val="18"/>
        </w:rPr>
      </w:pPr>
    </w:p>
    <w:p>
      <w:pPr>
        <w:spacing w:before="0"/>
        <w:ind w:left="1673" w:right="0" w:firstLine="0"/>
        <w:jc w:val="left"/>
        <w:rPr>
          <w:b/>
          <w:sz w:val="18"/>
        </w:rPr>
      </w:pPr>
      <w:r>
        <w:rPr>
          <w:b/>
          <w:color w:val="2A2A2A"/>
          <w:sz w:val="18"/>
        </w:rPr>
        <w:t>Accumu </w:t>
      </w:r>
      <w:r>
        <w:rPr>
          <w:b/>
          <w:color w:val="0F0F0F"/>
          <w:sz w:val="18"/>
        </w:rPr>
        <w:t>l</w:t>
      </w:r>
      <w:r>
        <w:rPr>
          <w:b/>
          <w:color w:val="2A2A2A"/>
          <w:sz w:val="18"/>
        </w:rPr>
        <w:t>ated Depreciation</w:t>
      </w:r>
    </w:p>
    <w:p>
      <w:pPr>
        <w:pStyle w:val="BodyText"/>
        <w:spacing w:before="1"/>
        <w:rPr>
          <w:b/>
          <w:sz w:val="22"/>
        </w:rPr>
      </w:pPr>
    </w:p>
    <w:p>
      <w:pPr>
        <w:tabs>
          <w:tab w:pos="5810" w:val="left" w:leader="none"/>
          <w:tab w:pos="7883" w:val="left" w:leader="none"/>
          <w:tab w:pos="9732" w:val="left" w:leader="none"/>
        </w:tabs>
        <w:spacing w:before="0"/>
        <w:ind w:left="1665" w:right="0" w:firstLine="0"/>
        <w:jc w:val="left"/>
        <w:rPr>
          <w:sz w:val="17"/>
        </w:rPr>
      </w:pPr>
      <w:r>
        <w:rPr>
          <w:color w:val="2A2A2A"/>
          <w:w w:val="110"/>
          <w:sz w:val="17"/>
        </w:rPr>
        <w:t>Balance</w:t>
      </w:r>
      <w:r>
        <w:rPr>
          <w:color w:val="2A2A2A"/>
          <w:spacing w:val="-2"/>
          <w:w w:val="110"/>
          <w:sz w:val="17"/>
        </w:rPr>
        <w:t> </w:t>
      </w:r>
      <w:r>
        <w:rPr>
          <w:color w:val="2A2A2A"/>
          <w:w w:val="110"/>
          <w:sz w:val="17"/>
        </w:rPr>
        <w:t>as</w:t>
      </w:r>
      <w:r>
        <w:rPr>
          <w:color w:val="2A2A2A"/>
          <w:spacing w:val="-16"/>
          <w:w w:val="110"/>
          <w:sz w:val="17"/>
        </w:rPr>
        <w:t> </w:t>
      </w:r>
      <w:r>
        <w:rPr>
          <w:color w:val="2A2A2A"/>
          <w:w w:val="110"/>
          <w:sz w:val="17"/>
        </w:rPr>
        <w:t>at</w:t>
      </w:r>
      <w:r>
        <w:rPr>
          <w:color w:val="2A2A2A"/>
          <w:spacing w:val="-14"/>
          <w:w w:val="110"/>
          <w:sz w:val="17"/>
        </w:rPr>
        <w:t> </w:t>
      </w:r>
      <w:r>
        <w:rPr>
          <w:color w:val="2A2A2A"/>
          <w:w w:val="110"/>
          <w:sz w:val="17"/>
        </w:rPr>
        <w:t>30</w:t>
      </w:r>
      <w:r>
        <w:rPr>
          <w:color w:val="2A2A2A"/>
          <w:spacing w:val="-21"/>
          <w:w w:val="110"/>
          <w:sz w:val="17"/>
        </w:rPr>
        <w:t> </w:t>
      </w:r>
      <w:r>
        <w:rPr>
          <w:color w:val="2A2A2A"/>
          <w:w w:val="110"/>
          <w:sz w:val="17"/>
        </w:rPr>
        <w:t>June </w:t>
      </w:r>
      <w:r>
        <w:rPr>
          <w:color w:val="2A2A2A"/>
          <w:spacing w:val="13"/>
          <w:w w:val="110"/>
          <w:sz w:val="17"/>
        </w:rPr>
        <w:t> </w:t>
      </w:r>
      <w:r>
        <w:rPr>
          <w:color w:val="2A2A2A"/>
          <w:w w:val="110"/>
          <w:sz w:val="17"/>
        </w:rPr>
        <w:t>2010</w:t>
        <w:tab/>
        <w:t>(60,615)</w:t>
        <w:tab/>
        <w:t>{7</w:t>
      </w:r>
      <w:r>
        <w:rPr>
          <w:color w:val="646464"/>
          <w:w w:val="110"/>
          <w:sz w:val="17"/>
        </w:rPr>
        <w:t>,</w:t>
      </w:r>
      <w:r>
        <w:rPr>
          <w:color w:val="2A2A2A"/>
          <w:w w:val="110"/>
          <w:sz w:val="17"/>
        </w:rPr>
        <w:t>993)</w:t>
        <w:tab/>
        <w:t>(68</w:t>
      </w:r>
      <w:r>
        <w:rPr>
          <w:color w:val="4B4B4B"/>
          <w:w w:val="110"/>
          <w:sz w:val="17"/>
        </w:rPr>
        <w:t>,</w:t>
      </w:r>
      <w:r>
        <w:rPr>
          <w:color w:val="2A2A2A"/>
          <w:w w:val="110"/>
          <w:sz w:val="17"/>
        </w:rPr>
        <w:t>608)</w:t>
      </w:r>
    </w:p>
    <w:p>
      <w:pPr>
        <w:spacing w:line="174" w:lineRule="exact" w:before="21"/>
        <w:ind w:left="1664" w:right="0" w:firstLine="0"/>
        <w:jc w:val="left"/>
        <w:rPr>
          <w:sz w:val="17"/>
        </w:rPr>
      </w:pPr>
      <w:r>
        <w:rPr>
          <w:color w:val="2A2A2A"/>
          <w:w w:val="105"/>
          <w:sz w:val="17"/>
        </w:rPr>
        <w:t>Disposals</w:t>
      </w:r>
    </w:p>
    <w:p>
      <w:pPr>
        <w:tabs>
          <w:tab w:pos="5316" w:val="left" w:leader="none"/>
          <w:tab w:pos="5922" w:val="left" w:leader="none"/>
          <w:tab w:pos="7887" w:val="left" w:leader="none"/>
          <w:tab w:pos="9744" w:val="left" w:leader="none"/>
        </w:tabs>
        <w:spacing w:line="273" w:lineRule="exact" w:before="0"/>
        <w:ind w:left="1664" w:right="0" w:firstLine="0"/>
        <w:jc w:val="left"/>
        <w:rPr>
          <w:sz w:val="17"/>
        </w:rPr>
      </w:pPr>
      <w:r>
        <w:rPr>
          <w:color w:val="2A2A2A"/>
          <w:w w:val="105"/>
          <w:position w:val="1"/>
          <w:sz w:val="17"/>
        </w:rPr>
        <w:t>Depreciatioh</w:t>
      </w:r>
      <w:r>
        <w:rPr>
          <w:color w:val="2A2A2A"/>
          <w:spacing w:val="3"/>
          <w:w w:val="105"/>
          <w:position w:val="1"/>
          <w:sz w:val="17"/>
        </w:rPr>
        <w:t> </w:t>
      </w:r>
      <w:r>
        <w:rPr>
          <w:color w:val="2A2A2A"/>
          <w:w w:val="105"/>
          <w:position w:val="1"/>
          <w:sz w:val="17"/>
        </w:rPr>
        <w:t>Expense</w:t>
        <w:tab/>
      </w:r>
      <w:r>
        <w:rPr>
          <w:color w:val="2A2A2A"/>
          <w:w w:val="105"/>
          <w:sz w:val="17"/>
          <w:u w:val="single" w:color="000000"/>
        </w:rPr>
        <w:t> </w:t>
        <w:tab/>
        <w:t>{4</w:t>
      </w:r>
      <w:r>
        <w:rPr>
          <w:color w:val="4B4B4B"/>
          <w:w w:val="105"/>
          <w:sz w:val="17"/>
          <w:u w:val="single" w:color="000000"/>
        </w:rPr>
        <w:t>,</w:t>
      </w:r>
      <w:r>
        <w:rPr>
          <w:color w:val="2A2A2A"/>
          <w:w w:val="105"/>
          <w:sz w:val="17"/>
          <w:u w:val="single" w:color="000000"/>
        </w:rPr>
        <w:t>852}</w:t>
        <w:tab/>
        <w:t>(6</w:t>
      </w:r>
      <w:r>
        <w:rPr>
          <w:color w:val="4B4B4B"/>
          <w:w w:val="105"/>
          <w:sz w:val="17"/>
          <w:u w:val="single" w:color="000000"/>
        </w:rPr>
        <w:t>,</w:t>
      </w:r>
      <w:r>
        <w:rPr>
          <w:color w:val="2A2A2A"/>
          <w:w w:val="105"/>
          <w:sz w:val="17"/>
          <w:u w:val="single" w:color="000000"/>
        </w:rPr>
        <w:t>743}</w:t>
        <w:tab/>
      </w:r>
      <w:r>
        <w:rPr>
          <w:rFonts w:ascii="Times New Roman"/>
          <w:color w:val="2A2A2A"/>
          <w:w w:val="105"/>
          <w:sz w:val="26"/>
          <w:u w:val="single" w:color="000000"/>
        </w:rPr>
        <w:t>p</w:t>
      </w:r>
      <w:r>
        <w:rPr>
          <w:color w:val="2A2A2A"/>
          <w:w w:val="105"/>
          <w:sz w:val="17"/>
          <w:u w:val="single" w:color="000000"/>
        </w:rPr>
        <w:t>1,5952</w:t>
      </w:r>
    </w:p>
    <w:p>
      <w:pPr>
        <w:tabs>
          <w:tab w:pos="5820" w:val="left" w:leader="none"/>
          <w:tab w:pos="7791" w:val="left" w:leader="none"/>
          <w:tab w:pos="9738" w:val="left" w:leader="none"/>
        </w:tabs>
        <w:spacing w:line="201" w:lineRule="exact" w:before="0"/>
        <w:ind w:left="1665" w:right="0" w:firstLine="0"/>
        <w:jc w:val="left"/>
        <w:rPr>
          <w:sz w:val="17"/>
        </w:rPr>
      </w:pPr>
      <w:r>
        <w:rPr>
          <w:color w:val="2A2A2A"/>
          <w:w w:val="110"/>
          <w:position w:val="1"/>
          <w:sz w:val="17"/>
        </w:rPr>
        <w:t>Balance</w:t>
      </w:r>
      <w:r>
        <w:rPr>
          <w:color w:val="2A2A2A"/>
          <w:spacing w:val="-5"/>
          <w:w w:val="110"/>
          <w:position w:val="1"/>
          <w:sz w:val="17"/>
        </w:rPr>
        <w:t> </w:t>
      </w:r>
      <w:r>
        <w:rPr>
          <w:color w:val="2A2A2A"/>
          <w:w w:val="110"/>
          <w:position w:val="1"/>
          <w:sz w:val="17"/>
        </w:rPr>
        <w:t>as</w:t>
      </w:r>
      <w:r>
        <w:rPr>
          <w:color w:val="2A2A2A"/>
          <w:spacing w:val="-15"/>
          <w:w w:val="110"/>
          <w:position w:val="1"/>
          <w:sz w:val="17"/>
        </w:rPr>
        <w:t> </w:t>
      </w:r>
      <w:r>
        <w:rPr>
          <w:color w:val="2A2A2A"/>
          <w:w w:val="110"/>
          <w:position w:val="1"/>
          <w:sz w:val="17"/>
        </w:rPr>
        <w:t>at</w:t>
      </w:r>
      <w:r>
        <w:rPr>
          <w:color w:val="2A2A2A"/>
          <w:spacing w:val="-13"/>
          <w:w w:val="110"/>
          <w:position w:val="1"/>
          <w:sz w:val="17"/>
        </w:rPr>
        <w:t> </w:t>
      </w:r>
      <w:r>
        <w:rPr>
          <w:color w:val="2A2A2A"/>
          <w:w w:val="110"/>
          <w:position w:val="1"/>
          <w:sz w:val="17"/>
        </w:rPr>
        <w:t>30</w:t>
      </w:r>
      <w:r>
        <w:rPr>
          <w:color w:val="2A2A2A"/>
          <w:spacing w:val="-22"/>
          <w:w w:val="110"/>
          <w:position w:val="1"/>
          <w:sz w:val="17"/>
        </w:rPr>
        <w:t> </w:t>
      </w:r>
      <w:r>
        <w:rPr>
          <w:color w:val="2A2A2A"/>
          <w:w w:val="110"/>
          <w:position w:val="1"/>
          <w:sz w:val="17"/>
        </w:rPr>
        <w:t>June </w:t>
      </w:r>
      <w:r>
        <w:rPr>
          <w:color w:val="2A2A2A"/>
          <w:spacing w:val="15"/>
          <w:w w:val="110"/>
          <w:position w:val="1"/>
          <w:sz w:val="17"/>
        </w:rPr>
        <w:t> </w:t>
      </w:r>
      <w:r>
        <w:rPr>
          <w:color w:val="2A2A2A"/>
          <w:w w:val="110"/>
          <w:position w:val="1"/>
          <w:sz w:val="17"/>
        </w:rPr>
        <w:t>2011</w:t>
        <w:tab/>
      </w:r>
      <w:r>
        <w:rPr>
          <w:color w:val="2A2A2A"/>
          <w:w w:val="110"/>
          <w:sz w:val="17"/>
        </w:rPr>
        <w:t>(65,467}</w:t>
        <w:tab/>
        <w:t>{14</w:t>
      </w:r>
      <w:r>
        <w:rPr>
          <w:color w:val="4B4B4B"/>
          <w:w w:val="110"/>
          <w:sz w:val="17"/>
        </w:rPr>
        <w:t>,</w:t>
      </w:r>
      <w:r>
        <w:rPr>
          <w:color w:val="2A2A2A"/>
          <w:w w:val="110"/>
          <w:sz w:val="17"/>
        </w:rPr>
        <w:t>736}</w:t>
        <w:tab/>
        <w:t>{80</w:t>
      </w:r>
      <w:r>
        <w:rPr>
          <w:color w:val="4B4B4B"/>
          <w:w w:val="110"/>
          <w:sz w:val="17"/>
        </w:rPr>
        <w:t>,</w:t>
      </w:r>
      <w:r>
        <w:rPr>
          <w:color w:val="2A2A2A"/>
          <w:w w:val="110"/>
          <w:sz w:val="17"/>
        </w:rPr>
        <w:t>203}</w:t>
      </w:r>
    </w:p>
    <w:p>
      <w:pPr>
        <w:pStyle w:val="BodyText"/>
        <w:spacing w:before="9"/>
        <w:rPr>
          <w:sz w:val="9"/>
        </w:rPr>
      </w:pPr>
      <w:r>
        <w:rPr/>
        <w:pict>
          <v:line style="position:absolute;mso-position-horizontal-relative:page;mso-position-vertical-relative:paragraph;z-index:1768;mso-wrap-distance-left:0;mso-wrap-distance-right:0" from="289.826691pt,7.833123pt" to="544.566564pt,7.833123pt" stroked="true" strokeweight=".48053pt" strokecolor="#000000">
            <v:stroke dashstyle="solid"/>
            <w10:wrap type="topAndBottom"/>
          </v:line>
        </w:pict>
      </w:r>
    </w:p>
    <w:p>
      <w:pPr>
        <w:spacing w:before="66"/>
        <w:ind w:left="1669" w:right="0" w:firstLine="0"/>
        <w:jc w:val="left"/>
        <w:rPr>
          <w:b/>
          <w:sz w:val="18"/>
        </w:rPr>
      </w:pPr>
      <w:r>
        <w:rPr>
          <w:b/>
          <w:color w:val="2A2A2A"/>
          <w:sz w:val="18"/>
        </w:rPr>
        <w:t>Net Book Value</w:t>
      </w:r>
    </w:p>
    <w:p>
      <w:pPr>
        <w:pStyle w:val="BodyText"/>
        <w:spacing w:before="8"/>
        <w:rPr>
          <w:b/>
          <w:sz w:val="21"/>
        </w:rPr>
      </w:pPr>
    </w:p>
    <w:p>
      <w:pPr>
        <w:tabs>
          <w:tab w:pos="5316" w:val="left" w:leader="none"/>
          <w:tab w:pos="6084" w:val="left" w:leader="none"/>
          <w:tab w:pos="7412" w:val="left" w:leader="none"/>
          <w:tab w:pos="7859" w:val="left" w:leader="none"/>
          <w:tab w:pos="9810" w:val="left" w:leader="none"/>
        </w:tabs>
        <w:spacing w:before="0"/>
        <w:ind w:left="1670" w:right="0" w:firstLine="0"/>
        <w:jc w:val="left"/>
        <w:rPr>
          <w:sz w:val="17"/>
        </w:rPr>
      </w:pPr>
      <w:r>
        <w:rPr>
          <w:color w:val="2A2A2A"/>
          <w:w w:val="110"/>
          <w:sz w:val="17"/>
        </w:rPr>
        <w:t>Balance as at 30</w:t>
      </w:r>
      <w:r>
        <w:rPr>
          <w:color w:val="2A2A2A"/>
          <w:spacing w:val="-30"/>
          <w:w w:val="110"/>
          <w:sz w:val="17"/>
        </w:rPr>
        <w:t> </w:t>
      </w:r>
      <w:r>
        <w:rPr>
          <w:color w:val="2A2A2A"/>
          <w:w w:val="110"/>
          <w:sz w:val="17"/>
        </w:rPr>
        <w:t>June </w:t>
      </w:r>
      <w:r>
        <w:rPr>
          <w:color w:val="2A2A2A"/>
          <w:spacing w:val="15"/>
          <w:w w:val="110"/>
          <w:sz w:val="17"/>
        </w:rPr>
        <w:t> </w:t>
      </w:r>
      <w:r>
        <w:rPr>
          <w:color w:val="2A2A2A"/>
          <w:w w:val="110"/>
          <w:sz w:val="17"/>
        </w:rPr>
        <w:t>2010</w:t>
        <w:tab/>
      </w:r>
      <w:r>
        <w:rPr>
          <w:color w:val="2A2A2A"/>
          <w:w w:val="110"/>
          <w:sz w:val="17"/>
          <w:u w:val="single" w:color="000000"/>
        </w:rPr>
        <w:tab/>
      </w:r>
      <w:r>
        <w:rPr>
          <w:color w:val="2A2A2A"/>
          <w:w w:val="110"/>
          <w:sz w:val="17"/>
        </w:rPr>
        <w:t>345</w:t>
        <w:tab/>
      </w:r>
      <w:r>
        <w:rPr>
          <w:color w:val="2A2A2A"/>
          <w:w w:val="110"/>
          <w:sz w:val="17"/>
          <w:u w:val="single" w:color="000000"/>
        </w:rPr>
        <w:t> </w:t>
        <w:tab/>
        <w:t>25,721</w:t>
        <w:tab/>
        <w:t>26,066</w:t>
      </w:r>
    </w:p>
    <w:p>
      <w:pPr>
        <w:pStyle w:val="BodyText"/>
        <w:spacing w:before="5"/>
        <w:rPr>
          <w:sz w:val="21"/>
        </w:rPr>
      </w:pPr>
    </w:p>
    <w:p>
      <w:pPr>
        <w:tabs>
          <w:tab w:pos="5316" w:val="left" w:leader="none"/>
          <w:tab w:pos="5898" w:val="left" w:leader="none"/>
          <w:tab w:pos="7864" w:val="left" w:leader="none"/>
          <w:tab w:pos="9810" w:val="left" w:leader="none"/>
        </w:tabs>
        <w:spacing w:before="0"/>
        <w:ind w:left="1670" w:right="0" w:firstLine="0"/>
        <w:jc w:val="left"/>
        <w:rPr>
          <w:sz w:val="17"/>
        </w:rPr>
      </w:pPr>
      <w:r>
        <w:rPr>
          <w:color w:val="2A2A2A"/>
          <w:w w:val="105"/>
          <w:sz w:val="17"/>
        </w:rPr>
        <w:t>Balance as at 30</w:t>
      </w:r>
      <w:r>
        <w:rPr>
          <w:color w:val="2A2A2A"/>
          <w:spacing w:val="2"/>
          <w:w w:val="105"/>
          <w:sz w:val="17"/>
        </w:rPr>
        <w:t> </w:t>
      </w:r>
      <w:r>
        <w:rPr>
          <w:color w:val="2A2A2A"/>
          <w:w w:val="105"/>
          <w:sz w:val="17"/>
        </w:rPr>
        <w:t>June </w:t>
      </w:r>
      <w:r>
        <w:rPr>
          <w:color w:val="2A2A2A"/>
          <w:spacing w:val="45"/>
          <w:w w:val="105"/>
          <w:sz w:val="17"/>
        </w:rPr>
        <w:t> </w:t>
      </w:r>
      <w:r>
        <w:rPr>
          <w:color w:val="2A2A2A"/>
          <w:w w:val="105"/>
          <w:sz w:val="17"/>
        </w:rPr>
        <w:t>2011</w:t>
        <w:tab/>
      </w:r>
      <w:r>
        <w:rPr>
          <w:color w:val="2A2A2A"/>
          <w:w w:val="105"/>
          <w:sz w:val="17"/>
          <w:u w:val="single" w:color="000000"/>
        </w:rPr>
        <w:t> </w:t>
        <w:tab/>
        <w:t>10,663</w:t>
        <w:tab/>
        <w:t>18,978</w:t>
        <w:tab/>
        <w:t>29,641</w:t>
      </w:r>
      <w:r>
        <w:rPr>
          <w:color w:val="2A2A2A"/>
          <w:spacing w:val="3"/>
          <w:sz w:val="17"/>
          <w:u w:val="single" w:color="000000"/>
        </w:rPr>
        <w:t> </w:t>
      </w:r>
    </w:p>
    <w:p>
      <w:pPr>
        <w:pStyle w:val="BodyText"/>
        <w:spacing w:before="5"/>
        <w:rPr>
          <w:sz w:val="21"/>
        </w:rPr>
      </w:pPr>
    </w:p>
    <w:p>
      <w:pPr>
        <w:tabs>
          <w:tab w:pos="5020" w:val="left" w:leader="none"/>
        </w:tabs>
        <w:spacing w:before="0"/>
        <w:ind w:left="2982" w:right="0" w:firstLine="0"/>
        <w:jc w:val="center"/>
        <w:rPr>
          <w:sz w:val="17"/>
        </w:rPr>
      </w:pPr>
      <w:r>
        <w:rPr>
          <w:color w:val="2A2A2A"/>
          <w:w w:val="105"/>
          <w:sz w:val="17"/>
        </w:rPr>
        <w:t>2011</w:t>
        <w:tab/>
        <w:t>2010</w:t>
      </w:r>
    </w:p>
    <w:p>
      <w:pPr>
        <w:tabs>
          <w:tab w:pos="5013" w:val="left" w:leader="none"/>
        </w:tabs>
        <w:spacing w:before="22" w:after="12"/>
        <w:ind w:left="2985" w:right="0" w:firstLine="0"/>
        <w:jc w:val="center"/>
        <w:rPr>
          <w:rFonts w:ascii="Times New Roman"/>
          <w:sz w:val="19"/>
        </w:rPr>
      </w:pPr>
      <w:r>
        <w:rPr>
          <w:rFonts w:ascii="Times New Roman"/>
          <w:color w:val="2A2A2A"/>
          <w:w w:val="105"/>
          <w:sz w:val="19"/>
        </w:rPr>
        <w:t>$</w:t>
        <w:tab/>
        <w:t>$</w:t>
      </w:r>
    </w:p>
    <w:tbl>
      <w:tblPr>
        <w:tblW w:w="0" w:type="auto"/>
        <w:jc w:val="left"/>
        <w:tblInd w:w="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
        <w:gridCol w:w="4000"/>
        <w:gridCol w:w="1658"/>
        <w:gridCol w:w="1362"/>
      </w:tblGrid>
      <w:tr>
        <w:trPr>
          <w:trHeight w:val="221" w:hRule="atLeast"/>
        </w:trPr>
        <w:tc>
          <w:tcPr>
            <w:tcW w:w="369" w:type="dxa"/>
          </w:tcPr>
          <w:p>
            <w:pPr>
              <w:pStyle w:val="TableParagraph"/>
              <w:spacing w:line="193" w:lineRule="exact" w:before="8"/>
              <w:ind w:left="50"/>
              <w:rPr>
                <w:b/>
                <w:sz w:val="17"/>
              </w:rPr>
            </w:pPr>
            <w:r>
              <w:rPr>
                <w:b/>
                <w:color w:val="2A2A2A"/>
                <w:w w:val="107"/>
                <w:sz w:val="17"/>
              </w:rPr>
              <w:t>3</w:t>
            </w:r>
          </w:p>
        </w:tc>
        <w:tc>
          <w:tcPr>
            <w:tcW w:w="4000" w:type="dxa"/>
          </w:tcPr>
          <w:p>
            <w:pPr>
              <w:pStyle w:val="TableParagraph"/>
              <w:spacing w:line="201" w:lineRule="exact"/>
              <w:ind w:left="217"/>
              <w:rPr>
                <w:b/>
                <w:sz w:val="18"/>
              </w:rPr>
            </w:pPr>
            <w:r>
              <w:rPr>
                <w:b/>
                <w:color w:val="2A2A2A"/>
                <w:w w:val="105"/>
                <w:sz w:val="18"/>
              </w:rPr>
              <w:t>Cash at bank and on hand</w:t>
            </w:r>
          </w:p>
        </w:tc>
        <w:tc>
          <w:tcPr>
            <w:tcW w:w="3020" w:type="dxa"/>
            <w:gridSpan w:val="2"/>
          </w:tcPr>
          <w:p>
            <w:pPr>
              <w:pStyle w:val="TableParagraph"/>
              <w:rPr>
                <w:rFonts w:ascii="Times New Roman"/>
                <w:sz w:val="14"/>
              </w:rPr>
            </w:pPr>
          </w:p>
        </w:tc>
      </w:tr>
      <w:tr>
        <w:trPr>
          <w:trHeight w:val="230" w:hRule="atLeast"/>
        </w:trPr>
        <w:tc>
          <w:tcPr>
            <w:tcW w:w="369" w:type="dxa"/>
          </w:tcPr>
          <w:p>
            <w:pPr>
              <w:pStyle w:val="TableParagraph"/>
              <w:rPr>
                <w:rFonts w:ascii="Times New Roman"/>
                <w:sz w:val="16"/>
              </w:rPr>
            </w:pPr>
          </w:p>
        </w:tc>
        <w:tc>
          <w:tcPr>
            <w:tcW w:w="4000" w:type="dxa"/>
          </w:tcPr>
          <w:p>
            <w:pPr>
              <w:pStyle w:val="TableParagraph"/>
              <w:spacing w:before="12"/>
              <w:ind w:left="217"/>
              <w:rPr>
                <w:sz w:val="17"/>
              </w:rPr>
            </w:pPr>
            <w:r>
              <w:rPr>
                <w:color w:val="2A2A2A"/>
                <w:w w:val="110"/>
                <w:sz w:val="17"/>
              </w:rPr>
              <w:t>Cash on hand</w:t>
            </w:r>
          </w:p>
        </w:tc>
        <w:tc>
          <w:tcPr>
            <w:tcW w:w="1658" w:type="dxa"/>
          </w:tcPr>
          <w:p>
            <w:pPr>
              <w:pStyle w:val="TableParagraph"/>
              <w:spacing w:line="193" w:lineRule="exact" w:before="17"/>
              <w:ind w:right="653"/>
              <w:jc w:val="right"/>
              <w:rPr>
                <w:sz w:val="17"/>
              </w:rPr>
            </w:pPr>
            <w:r>
              <w:rPr>
                <w:color w:val="2A2A2A"/>
                <w:w w:val="105"/>
                <w:sz w:val="17"/>
              </w:rPr>
              <w:t>300</w:t>
            </w:r>
          </w:p>
        </w:tc>
        <w:tc>
          <w:tcPr>
            <w:tcW w:w="1362" w:type="dxa"/>
          </w:tcPr>
          <w:p>
            <w:pPr>
              <w:pStyle w:val="TableParagraph"/>
              <w:spacing w:before="12"/>
              <w:ind w:right="54"/>
              <w:jc w:val="right"/>
              <w:rPr>
                <w:sz w:val="17"/>
              </w:rPr>
            </w:pPr>
            <w:r>
              <w:rPr>
                <w:color w:val="2A2A2A"/>
                <w:w w:val="105"/>
                <w:sz w:val="17"/>
              </w:rPr>
              <w:t>300</w:t>
            </w:r>
          </w:p>
        </w:tc>
      </w:tr>
      <w:tr>
        <w:trPr>
          <w:trHeight w:val="230" w:hRule="atLeast"/>
        </w:trPr>
        <w:tc>
          <w:tcPr>
            <w:tcW w:w="369" w:type="dxa"/>
          </w:tcPr>
          <w:p>
            <w:pPr>
              <w:pStyle w:val="TableParagraph"/>
              <w:rPr>
                <w:rFonts w:ascii="Times New Roman"/>
                <w:sz w:val="16"/>
              </w:rPr>
            </w:pPr>
          </w:p>
        </w:tc>
        <w:tc>
          <w:tcPr>
            <w:tcW w:w="4000" w:type="dxa"/>
          </w:tcPr>
          <w:p>
            <w:pPr>
              <w:pStyle w:val="TableParagraph"/>
              <w:spacing w:before="12"/>
              <w:ind w:left="222"/>
              <w:rPr>
                <w:sz w:val="17"/>
              </w:rPr>
            </w:pPr>
            <w:r>
              <w:rPr>
                <w:color w:val="2A2A2A"/>
                <w:w w:val="105"/>
                <w:sz w:val="17"/>
              </w:rPr>
              <w:t>Cash at bank - Bankwest General Accou </w:t>
            </w:r>
            <w:r>
              <w:rPr>
                <w:color w:val="4B4B4B"/>
                <w:w w:val="105"/>
                <w:sz w:val="17"/>
              </w:rPr>
              <w:t>n</w:t>
            </w:r>
            <w:r>
              <w:rPr>
                <w:color w:val="2A2A2A"/>
                <w:w w:val="105"/>
                <w:sz w:val="17"/>
              </w:rPr>
              <w:t>t</w:t>
            </w:r>
          </w:p>
        </w:tc>
        <w:tc>
          <w:tcPr>
            <w:tcW w:w="1658" w:type="dxa"/>
          </w:tcPr>
          <w:p>
            <w:pPr>
              <w:pStyle w:val="TableParagraph"/>
              <w:spacing w:line="193" w:lineRule="exact" w:before="17"/>
              <w:ind w:right="656"/>
              <w:jc w:val="right"/>
              <w:rPr>
                <w:sz w:val="17"/>
              </w:rPr>
            </w:pPr>
            <w:r>
              <w:rPr>
                <w:color w:val="2A2A2A"/>
                <w:w w:val="105"/>
                <w:sz w:val="17"/>
              </w:rPr>
              <w:t>78,133</w:t>
            </w:r>
          </w:p>
        </w:tc>
        <w:tc>
          <w:tcPr>
            <w:tcW w:w="1362" w:type="dxa"/>
          </w:tcPr>
          <w:p>
            <w:pPr>
              <w:pStyle w:val="TableParagraph"/>
              <w:spacing w:before="12"/>
              <w:ind w:right="51"/>
              <w:jc w:val="right"/>
              <w:rPr>
                <w:sz w:val="17"/>
              </w:rPr>
            </w:pPr>
            <w:r>
              <w:rPr>
                <w:color w:val="2A2A2A"/>
                <w:w w:val="105"/>
                <w:sz w:val="17"/>
              </w:rPr>
              <w:t>49,613</w:t>
            </w:r>
          </w:p>
        </w:tc>
      </w:tr>
      <w:tr>
        <w:trPr>
          <w:trHeight w:val="223" w:hRule="atLeast"/>
        </w:trPr>
        <w:tc>
          <w:tcPr>
            <w:tcW w:w="369" w:type="dxa"/>
          </w:tcPr>
          <w:p>
            <w:pPr>
              <w:pStyle w:val="TableParagraph"/>
              <w:rPr>
                <w:rFonts w:ascii="Times New Roman"/>
                <w:sz w:val="14"/>
              </w:rPr>
            </w:pPr>
          </w:p>
        </w:tc>
        <w:tc>
          <w:tcPr>
            <w:tcW w:w="4000" w:type="dxa"/>
          </w:tcPr>
          <w:p>
            <w:pPr>
              <w:pStyle w:val="TableParagraph"/>
              <w:spacing w:line="191" w:lineRule="exact" w:before="12"/>
              <w:ind w:left="226"/>
              <w:rPr>
                <w:sz w:val="17"/>
              </w:rPr>
            </w:pPr>
            <w:r>
              <w:rPr>
                <w:color w:val="2A2A2A"/>
                <w:w w:val="105"/>
                <w:sz w:val="17"/>
              </w:rPr>
              <w:t>Gold Cash Management Account</w:t>
            </w:r>
          </w:p>
        </w:tc>
        <w:tc>
          <w:tcPr>
            <w:tcW w:w="1658" w:type="dxa"/>
          </w:tcPr>
          <w:p>
            <w:pPr>
              <w:pStyle w:val="TableParagraph"/>
              <w:spacing w:line="191" w:lineRule="exact" w:before="12"/>
              <w:ind w:right="652"/>
              <w:jc w:val="right"/>
              <w:rPr>
                <w:sz w:val="17"/>
              </w:rPr>
            </w:pPr>
            <w:r>
              <w:rPr>
                <w:color w:val="2A2A2A"/>
                <w:w w:val="105"/>
                <w:sz w:val="17"/>
              </w:rPr>
              <w:t>133,927</w:t>
            </w:r>
          </w:p>
        </w:tc>
        <w:tc>
          <w:tcPr>
            <w:tcW w:w="1362" w:type="dxa"/>
          </w:tcPr>
          <w:p>
            <w:pPr>
              <w:pStyle w:val="TableParagraph"/>
              <w:spacing w:line="191" w:lineRule="exact" w:before="12"/>
              <w:ind w:right="48"/>
              <w:jc w:val="right"/>
              <w:rPr>
                <w:sz w:val="17"/>
              </w:rPr>
            </w:pPr>
            <w:r>
              <w:rPr>
                <w:color w:val="2A2A2A"/>
                <w:w w:val="105"/>
                <w:sz w:val="17"/>
              </w:rPr>
              <w:t>131,081</w:t>
            </w:r>
          </w:p>
        </w:tc>
      </w:tr>
      <w:tr>
        <w:trPr>
          <w:trHeight w:val="210" w:hRule="atLeast"/>
        </w:trPr>
        <w:tc>
          <w:tcPr>
            <w:tcW w:w="369" w:type="dxa"/>
          </w:tcPr>
          <w:p>
            <w:pPr>
              <w:pStyle w:val="TableParagraph"/>
              <w:rPr>
                <w:rFonts w:ascii="Times New Roman"/>
                <w:sz w:val="14"/>
              </w:rPr>
            </w:pPr>
          </w:p>
        </w:tc>
        <w:tc>
          <w:tcPr>
            <w:tcW w:w="4000" w:type="dxa"/>
          </w:tcPr>
          <w:p>
            <w:pPr>
              <w:pStyle w:val="TableParagraph"/>
              <w:spacing w:line="180" w:lineRule="exact" w:before="10"/>
              <w:ind w:left="227"/>
              <w:rPr>
                <w:sz w:val="17"/>
              </w:rPr>
            </w:pPr>
            <w:r>
              <w:rPr>
                <w:color w:val="2A2A2A"/>
                <w:w w:val="105"/>
                <w:sz w:val="17"/>
              </w:rPr>
              <w:t>Bankwest - Term Deposits</w:t>
            </w:r>
          </w:p>
        </w:tc>
        <w:tc>
          <w:tcPr>
            <w:tcW w:w="1658" w:type="dxa"/>
          </w:tcPr>
          <w:p>
            <w:pPr>
              <w:pStyle w:val="TableParagraph"/>
              <w:spacing w:line="176" w:lineRule="exact" w:before="15"/>
              <w:ind w:right="654"/>
              <w:jc w:val="right"/>
              <w:rPr>
                <w:sz w:val="17"/>
              </w:rPr>
            </w:pPr>
            <w:r>
              <w:rPr>
                <w:color w:val="2A2A2A"/>
                <w:w w:val="105"/>
                <w:sz w:val="17"/>
              </w:rPr>
              <w:t>122</w:t>
            </w:r>
            <w:r>
              <w:rPr>
                <w:color w:val="4B4B4B"/>
                <w:w w:val="105"/>
                <w:sz w:val="17"/>
              </w:rPr>
              <w:t>,</w:t>
            </w:r>
            <w:r>
              <w:rPr>
                <w:color w:val="2A2A2A"/>
                <w:w w:val="105"/>
                <w:sz w:val="17"/>
              </w:rPr>
              <w:t>745</w:t>
            </w:r>
          </w:p>
        </w:tc>
        <w:tc>
          <w:tcPr>
            <w:tcW w:w="1362" w:type="dxa"/>
          </w:tcPr>
          <w:p>
            <w:pPr>
              <w:pStyle w:val="TableParagraph"/>
              <w:spacing w:line="180" w:lineRule="exact" w:before="10"/>
              <w:ind w:right="48"/>
              <w:jc w:val="right"/>
              <w:rPr>
                <w:sz w:val="17"/>
              </w:rPr>
            </w:pPr>
            <w:r>
              <w:rPr>
                <w:color w:val="2A2A2A"/>
                <w:w w:val="105"/>
                <w:sz w:val="17"/>
              </w:rPr>
              <w:t>116,819</w:t>
            </w:r>
          </w:p>
        </w:tc>
      </w:tr>
    </w:tbl>
    <w:p>
      <w:pPr>
        <w:pStyle w:val="BodyText"/>
        <w:rPr>
          <w:rFonts w:ascii="Times New Roman"/>
          <w:sz w:val="16"/>
        </w:rPr>
      </w:pPr>
      <w:r>
        <w:rPr/>
        <w:pict>
          <v:line style="position:absolute;mso-position-horizontal-relative:page;mso-position-vertical-relative:paragraph;z-index:1792;mso-wrap-distance-left:0;mso-wrap-distance-right:0" from="289.826691pt,11.411133pt" to="479.199351pt,11.411133pt" stroked="true" strokeweight=".48053pt" strokecolor="#000000">
            <v:stroke dashstyle="solid"/>
            <w10:wrap type="topAndBottom"/>
          </v:line>
        </w:pict>
      </w:r>
    </w:p>
    <w:p>
      <w:pPr>
        <w:tabs>
          <w:tab w:pos="5871" w:val="left" w:leader="none"/>
          <w:tab w:pos="7844" w:val="left" w:leader="none"/>
          <w:tab w:pos="9140" w:val="left" w:leader="none"/>
        </w:tabs>
        <w:spacing w:before="0"/>
        <w:ind w:left="5316" w:right="0" w:firstLine="0"/>
        <w:jc w:val="left"/>
        <w:rPr>
          <w:sz w:val="17"/>
        </w:rPr>
      </w:pPr>
      <w:r>
        <w:rPr>
          <w:color w:val="2A2A2A"/>
          <w:w w:val="100"/>
          <w:sz w:val="17"/>
          <w:u w:val="single" w:color="000000"/>
        </w:rPr>
        <w:t> </w:t>
      </w:r>
      <w:r>
        <w:rPr>
          <w:color w:val="2A2A2A"/>
          <w:sz w:val="17"/>
          <w:u w:val="single" w:color="000000"/>
        </w:rPr>
        <w:tab/>
      </w:r>
      <w:r>
        <w:rPr>
          <w:color w:val="2A2A2A"/>
          <w:w w:val="105"/>
          <w:sz w:val="17"/>
          <w:u w:val="single" w:color="000000"/>
        </w:rPr>
        <w:t>335,105</w:t>
        <w:tab/>
        <w:t>297,813</w:t>
      </w:r>
      <w:r>
        <w:rPr>
          <w:color w:val="2A2A2A"/>
          <w:sz w:val="17"/>
          <w:u w:val="single" w:color="000000"/>
        </w:rPr>
        <w:tab/>
      </w:r>
    </w:p>
    <w:p>
      <w:pPr>
        <w:pStyle w:val="BodyText"/>
      </w:pPr>
    </w:p>
    <w:tbl>
      <w:tblPr>
        <w:tblW w:w="0" w:type="auto"/>
        <w:jc w:val="left"/>
        <w:tblInd w:w="1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
        <w:gridCol w:w="3845"/>
        <w:gridCol w:w="1657"/>
        <w:gridCol w:w="2178"/>
      </w:tblGrid>
      <w:tr>
        <w:trPr>
          <w:trHeight w:val="222" w:hRule="atLeast"/>
        </w:trPr>
        <w:tc>
          <w:tcPr>
            <w:tcW w:w="375" w:type="dxa"/>
          </w:tcPr>
          <w:p>
            <w:pPr>
              <w:pStyle w:val="TableParagraph"/>
              <w:spacing w:line="199" w:lineRule="exact" w:before="4"/>
              <w:ind w:left="50"/>
              <w:rPr>
                <w:b/>
                <w:sz w:val="18"/>
              </w:rPr>
            </w:pPr>
            <w:r>
              <w:rPr>
                <w:b/>
                <w:color w:val="2A2A2A"/>
                <w:w w:val="106"/>
                <w:sz w:val="18"/>
              </w:rPr>
              <w:t>4</w:t>
            </w:r>
          </w:p>
        </w:tc>
        <w:tc>
          <w:tcPr>
            <w:tcW w:w="3845" w:type="dxa"/>
          </w:tcPr>
          <w:p>
            <w:pPr>
              <w:pStyle w:val="TableParagraph"/>
              <w:spacing w:line="201" w:lineRule="exact"/>
              <w:ind w:left="220"/>
              <w:rPr>
                <w:b/>
                <w:sz w:val="18"/>
              </w:rPr>
            </w:pPr>
            <w:r>
              <w:rPr>
                <w:b/>
                <w:color w:val="2A2A2A"/>
                <w:sz w:val="18"/>
              </w:rPr>
              <w:t>Sundry Creditors</w:t>
            </w:r>
          </w:p>
        </w:tc>
        <w:tc>
          <w:tcPr>
            <w:tcW w:w="3835" w:type="dxa"/>
            <w:gridSpan w:val="2"/>
          </w:tcPr>
          <w:p>
            <w:pPr>
              <w:pStyle w:val="TableParagraph"/>
              <w:rPr>
                <w:rFonts w:ascii="Times New Roman"/>
                <w:sz w:val="14"/>
              </w:rPr>
            </w:pPr>
          </w:p>
        </w:tc>
      </w:tr>
      <w:tr>
        <w:trPr>
          <w:trHeight w:val="217" w:hRule="atLeast"/>
        </w:trPr>
        <w:tc>
          <w:tcPr>
            <w:tcW w:w="375" w:type="dxa"/>
          </w:tcPr>
          <w:p>
            <w:pPr>
              <w:pStyle w:val="TableParagraph"/>
              <w:rPr>
                <w:rFonts w:ascii="Times New Roman"/>
                <w:sz w:val="14"/>
              </w:rPr>
            </w:pPr>
          </w:p>
        </w:tc>
        <w:tc>
          <w:tcPr>
            <w:tcW w:w="3845" w:type="dxa"/>
          </w:tcPr>
          <w:p>
            <w:pPr>
              <w:pStyle w:val="TableParagraph"/>
              <w:spacing w:line="191" w:lineRule="exact" w:before="6"/>
              <w:ind w:left="217"/>
              <w:rPr>
                <w:sz w:val="17"/>
              </w:rPr>
            </w:pPr>
            <w:r>
              <w:rPr>
                <w:color w:val="2A2A2A"/>
                <w:w w:val="105"/>
                <w:sz w:val="17"/>
              </w:rPr>
              <w:t>Creditors general</w:t>
            </w:r>
          </w:p>
        </w:tc>
        <w:tc>
          <w:tcPr>
            <w:tcW w:w="1657" w:type="dxa"/>
          </w:tcPr>
          <w:p>
            <w:pPr>
              <w:pStyle w:val="TableParagraph"/>
              <w:spacing w:line="191" w:lineRule="exact" w:before="6"/>
              <w:ind w:right="441"/>
              <w:jc w:val="right"/>
              <w:rPr>
                <w:sz w:val="17"/>
              </w:rPr>
            </w:pPr>
            <w:r>
              <w:rPr>
                <w:color w:val="2A2A2A"/>
                <w:w w:val="105"/>
                <w:sz w:val="17"/>
              </w:rPr>
              <w:t>8,438</w:t>
            </w:r>
          </w:p>
        </w:tc>
        <w:tc>
          <w:tcPr>
            <w:tcW w:w="2178" w:type="dxa"/>
          </w:tcPr>
          <w:p>
            <w:pPr>
              <w:pStyle w:val="TableParagraph"/>
              <w:spacing w:line="191" w:lineRule="exact" w:before="6"/>
              <w:ind w:left="1071"/>
              <w:rPr>
                <w:sz w:val="17"/>
              </w:rPr>
            </w:pPr>
            <w:r>
              <w:rPr>
                <w:color w:val="2A2A2A"/>
                <w:w w:val="110"/>
                <w:sz w:val="17"/>
              </w:rPr>
              <w:t>5</w:t>
            </w:r>
            <w:r>
              <w:rPr>
                <w:color w:val="646464"/>
                <w:w w:val="110"/>
                <w:sz w:val="17"/>
              </w:rPr>
              <w:t>,</w:t>
            </w:r>
            <w:r>
              <w:rPr>
                <w:color w:val="2A2A2A"/>
                <w:w w:val="110"/>
                <w:sz w:val="17"/>
              </w:rPr>
              <w:t>448</w:t>
            </w:r>
          </w:p>
        </w:tc>
      </w:tr>
      <w:tr>
        <w:trPr>
          <w:trHeight w:val="221" w:hRule="atLeast"/>
        </w:trPr>
        <w:tc>
          <w:tcPr>
            <w:tcW w:w="375" w:type="dxa"/>
          </w:tcPr>
          <w:p>
            <w:pPr>
              <w:pStyle w:val="TableParagraph"/>
              <w:rPr>
                <w:rFonts w:ascii="Times New Roman"/>
                <w:sz w:val="14"/>
              </w:rPr>
            </w:pPr>
          </w:p>
        </w:tc>
        <w:tc>
          <w:tcPr>
            <w:tcW w:w="3845" w:type="dxa"/>
          </w:tcPr>
          <w:p>
            <w:pPr>
              <w:pStyle w:val="TableParagraph"/>
              <w:spacing w:line="191" w:lineRule="exact" w:before="10"/>
              <w:ind w:left="226"/>
              <w:rPr>
                <w:sz w:val="17"/>
              </w:rPr>
            </w:pPr>
            <w:r>
              <w:rPr>
                <w:color w:val="2A2A2A"/>
                <w:w w:val="105"/>
                <w:sz w:val="17"/>
              </w:rPr>
              <w:t>Accrued expenses</w:t>
            </w:r>
          </w:p>
        </w:tc>
        <w:tc>
          <w:tcPr>
            <w:tcW w:w="1657" w:type="dxa"/>
          </w:tcPr>
          <w:p>
            <w:pPr>
              <w:pStyle w:val="TableParagraph"/>
              <w:tabs>
                <w:tab w:pos="756" w:val="left" w:leader="none"/>
              </w:tabs>
              <w:spacing w:line="191" w:lineRule="exact" w:before="10"/>
              <w:ind w:right="441"/>
              <w:jc w:val="right"/>
              <w:rPr>
                <w:sz w:val="17"/>
              </w:rPr>
            </w:pPr>
            <w:r>
              <w:rPr>
                <w:color w:val="2A2A2A"/>
                <w:w w:val="100"/>
                <w:sz w:val="17"/>
                <w:u w:val="single" w:color="000000"/>
              </w:rPr>
              <w:t> </w:t>
            </w:r>
            <w:r>
              <w:rPr>
                <w:color w:val="2A2A2A"/>
                <w:sz w:val="17"/>
                <w:u w:val="single" w:color="000000"/>
              </w:rPr>
              <w:tab/>
            </w:r>
            <w:r>
              <w:rPr>
                <w:color w:val="2A2A2A"/>
                <w:spacing w:val="-2"/>
                <w:w w:val="105"/>
                <w:sz w:val="17"/>
              </w:rPr>
              <w:t>9,167</w:t>
            </w:r>
          </w:p>
        </w:tc>
        <w:tc>
          <w:tcPr>
            <w:tcW w:w="2178" w:type="dxa"/>
          </w:tcPr>
          <w:p>
            <w:pPr>
              <w:pStyle w:val="TableParagraph"/>
              <w:tabs>
                <w:tab w:pos="1075" w:val="left" w:leader="none"/>
                <w:tab w:pos="2178" w:val="left" w:leader="none"/>
              </w:tabs>
              <w:spacing w:line="191" w:lineRule="exact" w:before="10"/>
              <w:ind w:left="439" w:right="-15"/>
              <w:rPr>
                <w:sz w:val="17"/>
              </w:rPr>
            </w:pPr>
            <w:r>
              <w:rPr>
                <w:color w:val="2A2A2A"/>
                <w:w w:val="100"/>
                <w:sz w:val="17"/>
                <w:u w:val="single" w:color="000000"/>
              </w:rPr>
              <w:t> </w:t>
            </w:r>
            <w:r>
              <w:rPr>
                <w:color w:val="2A2A2A"/>
                <w:sz w:val="17"/>
                <w:u w:val="single" w:color="000000"/>
              </w:rPr>
              <w:tab/>
            </w:r>
            <w:r>
              <w:rPr>
                <w:color w:val="2A2A2A"/>
                <w:w w:val="110"/>
                <w:sz w:val="17"/>
                <w:u w:val="single" w:color="000000"/>
              </w:rPr>
              <w:t>7,240</w:t>
            </w:r>
            <w:r>
              <w:rPr>
                <w:color w:val="2A2A2A"/>
                <w:sz w:val="17"/>
                <w:u w:val="single" w:color="000000"/>
              </w:rPr>
              <w:tab/>
            </w:r>
          </w:p>
        </w:tc>
      </w:tr>
      <w:tr>
        <w:trPr>
          <w:trHeight w:val="212" w:hRule="atLeast"/>
        </w:trPr>
        <w:tc>
          <w:tcPr>
            <w:tcW w:w="375" w:type="dxa"/>
          </w:tcPr>
          <w:p>
            <w:pPr>
              <w:pStyle w:val="TableParagraph"/>
              <w:rPr>
                <w:rFonts w:ascii="Times New Roman"/>
                <w:sz w:val="14"/>
              </w:rPr>
            </w:pPr>
          </w:p>
        </w:tc>
        <w:tc>
          <w:tcPr>
            <w:tcW w:w="3845" w:type="dxa"/>
          </w:tcPr>
          <w:p>
            <w:pPr>
              <w:pStyle w:val="TableParagraph"/>
              <w:rPr>
                <w:rFonts w:ascii="Times New Roman"/>
                <w:sz w:val="14"/>
              </w:rPr>
            </w:pPr>
          </w:p>
        </w:tc>
        <w:tc>
          <w:tcPr>
            <w:tcW w:w="1657" w:type="dxa"/>
            <w:tcBorders>
              <w:bottom w:val="single" w:sz="4" w:space="0" w:color="000000"/>
            </w:tcBorders>
          </w:tcPr>
          <w:p>
            <w:pPr>
              <w:pStyle w:val="TableParagraph"/>
              <w:spacing w:line="182" w:lineRule="exact" w:before="10"/>
              <w:ind w:right="436"/>
              <w:jc w:val="right"/>
              <w:rPr>
                <w:sz w:val="17"/>
              </w:rPr>
            </w:pPr>
            <w:r>
              <w:rPr>
                <w:color w:val="2A2A2A"/>
                <w:w w:val="105"/>
                <w:sz w:val="17"/>
              </w:rPr>
              <w:t>17</w:t>
            </w:r>
            <w:r>
              <w:rPr>
                <w:color w:val="4B4B4B"/>
                <w:w w:val="105"/>
                <w:sz w:val="17"/>
              </w:rPr>
              <w:t>,</w:t>
            </w:r>
            <w:r>
              <w:rPr>
                <w:color w:val="2A2A2A"/>
                <w:w w:val="105"/>
                <w:sz w:val="17"/>
              </w:rPr>
              <w:t>605</w:t>
            </w:r>
          </w:p>
        </w:tc>
        <w:tc>
          <w:tcPr>
            <w:tcW w:w="2178" w:type="dxa"/>
            <w:tcBorders>
              <w:bottom w:val="single" w:sz="8" w:space="0" w:color="000000"/>
            </w:tcBorders>
          </w:tcPr>
          <w:p>
            <w:pPr>
              <w:pStyle w:val="TableParagraph"/>
              <w:spacing w:line="182" w:lineRule="exact" w:before="10"/>
              <w:ind w:left="973"/>
              <w:rPr>
                <w:sz w:val="17"/>
              </w:rPr>
            </w:pPr>
            <w:r>
              <w:rPr>
                <w:color w:val="2A2A2A"/>
                <w:w w:val="105"/>
                <w:sz w:val="17"/>
              </w:rPr>
              <w:t>12,687</w:t>
            </w:r>
          </w:p>
        </w:tc>
      </w:tr>
      <w:tr>
        <w:trPr>
          <w:trHeight w:val="578" w:hRule="atLeast"/>
        </w:trPr>
        <w:tc>
          <w:tcPr>
            <w:tcW w:w="375" w:type="dxa"/>
          </w:tcPr>
          <w:p>
            <w:pPr>
              <w:pStyle w:val="TableParagraph"/>
              <w:spacing w:before="2"/>
              <w:rPr>
                <w:sz w:val="21"/>
              </w:rPr>
            </w:pPr>
          </w:p>
          <w:p>
            <w:pPr>
              <w:pStyle w:val="TableParagraph"/>
              <w:ind w:left="50"/>
              <w:rPr>
                <w:b/>
                <w:sz w:val="18"/>
              </w:rPr>
            </w:pPr>
            <w:r>
              <w:rPr>
                <w:b/>
                <w:color w:val="2A2A2A"/>
                <w:w w:val="107"/>
                <w:sz w:val="18"/>
              </w:rPr>
              <w:t>5</w:t>
            </w:r>
          </w:p>
        </w:tc>
        <w:tc>
          <w:tcPr>
            <w:tcW w:w="3845" w:type="dxa"/>
          </w:tcPr>
          <w:p>
            <w:pPr>
              <w:pStyle w:val="TableParagraph"/>
              <w:spacing w:before="9"/>
              <w:rPr>
                <w:sz w:val="20"/>
              </w:rPr>
            </w:pPr>
          </w:p>
          <w:p>
            <w:pPr>
              <w:pStyle w:val="TableParagraph"/>
              <w:ind w:left="223"/>
              <w:rPr>
                <w:b/>
                <w:sz w:val="18"/>
              </w:rPr>
            </w:pPr>
            <w:r>
              <w:rPr>
                <w:b/>
                <w:color w:val="2A2A2A"/>
                <w:sz w:val="18"/>
              </w:rPr>
              <w:t>Income Recei </w:t>
            </w:r>
            <w:r>
              <w:rPr>
                <w:b/>
                <w:color w:val="0F0F0F"/>
                <w:sz w:val="18"/>
              </w:rPr>
              <w:t>v</w:t>
            </w:r>
            <w:r>
              <w:rPr>
                <w:b/>
                <w:color w:val="2A2A2A"/>
                <w:sz w:val="18"/>
              </w:rPr>
              <w:t>ed in Advance</w:t>
            </w:r>
          </w:p>
        </w:tc>
        <w:tc>
          <w:tcPr>
            <w:tcW w:w="1657" w:type="dxa"/>
            <w:tcBorders>
              <w:top w:val="single" w:sz="4" w:space="0" w:color="000000"/>
            </w:tcBorders>
          </w:tcPr>
          <w:p>
            <w:pPr>
              <w:pStyle w:val="TableParagraph"/>
              <w:rPr>
                <w:rFonts w:ascii="Times New Roman"/>
                <w:sz w:val="16"/>
              </w:rPr>
            </w:pPr>
          </w:p>
        </w:tc>
        <w:tc>
          <w:tcPr>
            <w:tcW w:w="2178" w:type="dxa"/>
            <w:tcBorders>
              <w:top w:val="single" w:sz="8" w:space="0" w:color="000000"/>
            </w:tcBorders>
          </w:tcPr>
          <w:p>
            <w:pPr>
              <w:pStyle w:val="TableParagraph"/>
              <w:rPr>
                <w:rFonts w:ascii="Times New Roman"/>
                <w:sz w:val="16"/>
              </w:rPr>
            </w:pPr>
          </w:p>
        </w:tc>
      </w:tr>
      <w:tr>
        <w:trPr>
          <w:trHeight w:val="335" w:hRule="atLeast"/>
        </w:trPr>
        <w:tc>
          <w:tcPr>
            <w:tcW w:w="375" w:type="dxa"/>
          </w:tcPr>
          <w:p>
            <w:pPr>
              <w:pStyle w:val="TableParagraph"/>
              <w:rPr>
                <w:rFonts w:ascii="Times New Roman"/>
                <w:sz w:val="16"/>
              </w:rPr>
            </w:pPr>
          </w:p>
        </w:tc>
        <w:tc>
          <w:tcPr>
            <w:tcW w:w="3845" w:type="dxa"/>
          </w:tcPr>
          <w:p>
            <w:pPr>
              <w:pStyle w:val="TableParagraph"/>
              <w:spacing w:line="189" w:lineRule="exact" w:before="126"/>
              <w:ind w:left="226"/>
              <w:rPr>
                <w:sz w:val="17"/>
              </w:rPr>
            </w:pPr>
            <w:r>
              <w:rPr>
                <w:color w:val="2A2A2A"/>
                <w:w w:val="110"/>
                <w:sz w:val="17"/>
              </w:rPr>
              <w:t>FAHCSIA</w:t>
            </w:r>
          </w:p>
        </w:tc>
        <w:tc>
          <w:tcPr>
            <w:tcW w:w="1657" w:type="dxa"/>
          </w:tcPr>
          <w:p>
            <w:pPr>
              <w:pStyle w:val="TableParagraph"/>
              <w:spacing w:line="193" w:lineRule="exact" w:before="122"/>
              <w:ind w:right="484"/>
              <w:jc w:val="right"/>
              <w:rPr>
                <w:sz w:val="17"/>
              </w:rPr>
            </w:pPr>
            <w:r>
              <w:rPr>
                <w:color w:val="2A2A2A"/>
                <w:w w:val="105"/>
                <w:sz w:val="17"/>
              </w:rPr>
              <w:t>17</w:t>
            </w:r>
            <w:r>
              <w:rPr>
                <w:color w:val="4B4B4B"/>
                <w:w w:val="105"/>
                <w:sz w:val="17"/>
              </w:rPr>
              <w:t>,</w:t>
            </w:r>
            <w:r>
              <w:rPr>
                <w:color w:val="2A2A2A"/>
                <w:w w:val="105"/>
                <w:sz w:val="17"/>
              </w:rPr>
              <w:t>000</w:t>
            </w:r>
          </w:p>
        </w:tc>
        <w:tc>
          <w:tcPr>
            <w:tcW w:w="2178" w:type="dxa"/>
          </w:tcPr>
          <w:p>
            <w:pPr>
              <w:pStyle w:val="TableParagraph"/>
              <w:spacing w:line="193" w:lineRule="exact" w:before="122"/>
              <w:ind w:left="924"/>
              <w:rPr>
                <w:sz w:val="17"/>
              </w:rPr>
            </w:pPr>
            <w:r>
              <w:rPr>
                <w:color w:val="2A2A2A"/>
                <w:w w:val="105"/>
                <w:sz w:val="17"/>
              </w:rPr>
              <w:t>24,708</w:t>
            </w:r>
          </w:p>
        </w:tc>
      </w:tr>
      <w:tr>
        <w:trPr>
          <w:trHeight w:val="221" w:hRule="atLeast"/>
        </w:trPr>
        <w:tc>
          <w:tcPr>
            <w:tcW w:w="375" w:type="dxa"/>
          </w:tcPr>
          <w:p>
            <w:pPr>
              <w:pStyle w:val="TableParagraph"/>
              <w:rPr>
                <w:rFonts w:ascii="Times New Roman"/>
                <w:sz w:val="14"/>
              </w:rPr>
            </w:pPr>
          </w:p>
        </w:tc>
        <w:tc>
          <w:tcPr>
            <w:tcW w:w="3845" w:type="dxa"/>
          </w:tcPr>
          <w:p>
            <w:pPr>
              <w:pStyle w:val="TableParagraph"/>
              <w:spacing w:line="193" w:lineRule="exact" w:before="7"/>
              <w:ind w:left="227"/>
              <w:rPr>
                <w:sz w:val="17"/>
              </w:rPr>
            </w:pPr>
            <w:r>
              <w:rPr>
                <w:color w:val="2A2A2A"/>
                <w:w w:val="105"/>
                <w:sz w:val="17"/>
              </w:rPr>
              <w:t>Disability Services Commission</w:t>
            </w:r>
          </w:p>
        </w:tc>
        <w:tc>
          <w:tcPr>
            <w:tcW w:w="1657" w:type="dxa"/>
          </w:tcPr>
          <w:p>
            <w:pPr>
              <w:pStyle w:val="TableParagraph"/>
              <w:spacing w:line="189" w:lineRule="exact" w:before="12"/>
              <w:ind w:right="488"/>
              <w:jc w:val="right"/>
              <w:rPr>
                <w:sz w:val="17"/>
              </w:rPr>
            </w:pPr>
            <w:r>
              <w:rPr>
                <w:color w:val="4B4B4B"/>
                <w:w w:val="105"/>
                <w:sz w:val="17"/>
              </w:rPr>
              <w:t>1 </w:t>
            </w:r>
            <w:r>
              <w:rPr>
                <w:color w:val="2A2A2A"/>
                <w:w w:val="105"/>
                <w:sz w:val="17"/>
              </w:rPr>
              <w:t>6,350</w:t>
            </w:r>
          </w:p>
        </w:tc>
        <w:tc>
          <w:tcPr>
            <w:tcW w:w="2178" w:type="dxa"/>
          </w:tcPr>
          <w:p>
            <w:pPr>
              <w:pStyle w:val="TableParagraph"/>
              <w:spacing w:line="189" w:lineRule="exact" w:before="12"/>
              <w:ind w:left="922"/>
              <w:rPr>
                <w:sz w:val="17"/>
              </w:rPr>
            </w:pPr>
            <w:r>
              <w:rPr>
                <w:color w:val="2A2A2A"/>
                <w:w w:val="105"/>
                <w:sz w:val="17"/>
              </w:rPr>
              <w:t>38,471</w:t>
            </w:r>
          </w:p>
        </w:tc>
      </w:tr>
      <w:tr>
        <w:trPr>
          <w:trHeight w:val="424" w:hRule="atLeast"/>
        </w:trPr>
        <w:tc>
          <w:tcPr>
            <w:tcW w:w="375" w:type="dxa"/>
          </w:tcPr>
          <w:p>
            <w:pPr>
              <w:pStyle w:val="TableParagraph"/>
              <w:rPr>
                <w:rFonts w:ascii="Times New Roman"/>
                <w:sz w:val="16"/>
              </w:rPr>
            </w:pPr>
          </w:p>
        </w:tc>
        <w:tc>
          <w:tcPr>
            <w:tcW w:w="3845" w:type="dxa"/>
          </w:tcPr>
          <w:p>
            <w:pPr>
              <w:pStyle w:val="TableParagraph"/>
              <w:spacing w:before="12"/>
              <w:ind w:left="233"/>
              <w:rPr>
                <w:sz w:val="17"/>
              </w:rPr>
            </w:pPr>
            <w:r>
              <w:rPr>
                <w:color w:val="2A2A2A"/>
                <w:w w:val="105"/>
                <w:sz w:val="17"/>
              </w:rPr>
              <w:t>Lotterywest</w:t>
            </w:r>
          </w:p>
          <w:p>
            <w:pPr>
              <w:pStyle w:val="TableParagraph"/>
              <w:spacing w:line="176" w:lineRule="exact" w:before="21"/>
              <w:ind w:left="236"/>
              <w:rPr>
                <w:sz w:val="17"/>
              </w:rPr>
            </w:pPr>
            <w:r>
              <w:rPr>
                <w:color w:val="2A2A2A"/>
                <w:w w:val="105"/>
                <w:sz w:val="17"/>
              </w:rPr>
              <w:t>Redress</w:t>
            </w:r>
          </w:p>
        </w:tc>
        <w:tc>
          <w:tcPr>
            <w:tcW w:w="1657" w:type="dxa"/>
          </w:tcPr>
          <w:p>
            <w:pPr>
              <w:pStyle w:val="TableParagraph"/>
              <w:rPr>
                <w:rFonts w:ascii="Times New Roman"/>
                <w:sz w:val="16"/>
              </w:rPr>
            </w:pPr>
          </w:p>
        </w:tc>
        <w:tc>
          <w:tcPr>
            <w:tcW w:w="2178" w:type="dxa"/>
          </w:tcPr>
          <w:p>
            <w:pPr>
              <w:pStyle w:val="TableParagraph"/>
              <w:spacing w:before="7"/>
              <w:ind w:left="930"/>
              <w:rPr>
                <w:sz w:val="17"/>
              </w:rPr>
            </w:pPr>
            <w:r>
              <w:rPr>
                <w:color w:val="2A2A2A"/>
                <w:w w:val="105"/>
                <w:sz w:val="17"/>
              </w:rPr>
              <w:t>14</w:t>
            </w:r>
            <w:r>
              <w:rPr>
                <w:color w:val="4B4B4B"/>
                <w:w w:val="105"/>
                <w:sz w:val="17"/>
              </w:rPr>
              <w:t>,</w:t>
            </w:r>
            <w:r>
              <w:rPr>
                <w:color w:val="2A2A2A"/>
                <w:w w:val="105"/>
                <w:sz w:val="17"/>
              </w:rPr>
              <w:t>096</w:t>
            </w:r>
          </w:p>
        </w:tc>
      </w:tr>
    </w:tbl>
    <w:p>
      <w:pPr>
        <w:tabs>
          <w:tab w:pos="5316" w:val="left" w:leader="none"/>
          <w:tab w:pos="6040" w:val="left" w:leader="none"/>
          <w:tab w:pos="8005" w:val="left" w:leader="none"/>
          <w:tab w:pos="9149" w:val="left" w:leader="none"/>
        </w:tabs>
        <w:spacing w:before="16"/>
        <w:ind w:left="1702" w:right="0" w:firstLine="0"/>
        <w:jc w:val="left"/>
        <w:rPr>
          <w:sz w:val="17"/>
        </w:rPr>
      </w:pPr>
      <w:r>
        <w:rPr>
          <w:color w:val="2A2A2A"/>
          <w:w w:val="105"/>
          <w:sz w:val="18"/>
        </w:rPr>
        <w:t>COFA</w:t>
        <w:tab/>
      </w:r>
      <w:r>
        <w:rPr>
          <w:color w:val="2A2A2A"/>
          <w:w w:val="105"/>
          <w:sz w:val="18"/>
          <w:u w:val="single" w:color="000000"/>
        </w:rPr>
        <w:t> </w:t>
        <w:tab/>
      </w:r>
      <w:r>
        <w:rPr>
          <w:color w:val="2A2A2A"/>
          <w:w w:val="105"/>
          <w:sz w:val="17"/>
          <w:u w:val="single" w:color="000000"/>
        </w:rPr>
        <w:t>4,600</w:t>
        <w:tab/>
        <w:t>4</w:t>
      </w:r>
      <w:r>
        <w:rPr>
          <w:color w:val="4B4B4B"/>
          <w:w w:val="105"/>
          <w:sz w:val="17"/>
          <w:u w:val="single" w:color="000000"/>
        </w:rPr>
        <w:t>,</w:t>
      </w:r>
      <w:r>
        <w:rPr>
          <w:color w:val="2A2A2A"/>
          <w:w w:val="105"/>
          <w:sz w:val="17"/>
          <w:u w:val="single" w:color="000000"/>
        </w:rPr>
        <w:t>600</w:t>
      </w:r>
      <w:r>
        <w:rPr>
          <w:color w:val="2A2A2A"/>
          <w:sz w:val="17"/>
          <w:u w:val="single" w:color="000000"/>
        </w:rPr>
        <w:tab/>
      </w:r>
    </w:p>
    <w:p>
      <w:pPr>
        <w:tabs>
          <w:tab w:pos="5938" w:val="left" w:leader="none"/>
          <w:tab w:pos="7904" w:val="left" w:leader="none"/>
          <w:tab w:pos="9148" w:val="left" w:leader="none"/>
        </w:tabs>
        <w:spacing w:before="18"/>
        <w:ind w:left="5316" w:right="0" w:firstLine="0"/>
        <w:jc w:val="left"/>
        <w:rPr>
          <w:sz w:val="17"/>
        </w:rPr>
      </w:pPr>
      <w:r>
        <w:rPr/>
        <w:pict>
          <v:line style="position:absolute;mso-position-horizontal-relative:page;mso-position-vertical-relative:paragraph;z-index:-63328" from="289.826691pt,68.938911pt" to="479.199351pt,68.938911pt" stroked="true" strokeweight=".48053pt" strokecolor="#000000">
            <v:stroke dashstyle="solid"/>
            <w10:wrap type="none"/>
          </v:line>
        </w:pict>
      </w:r>
      <w:r>
        <w:rPr>
          <w:color w:val="2A2A2A"/>
          <w:w w:val="100"/>
          <w:sz w:val="17"/>
          <w:u w:val="single" w:color="000000"/>
        </w:rPr>
        <w:t> </w:t>
      </w:r>
      <w:r>
        <w:rPr>
          <w:color w:val="2A2A2A"/>
          <w:sz w:val="17"/>
          <w:u w:val="single" w:color="000000"/>
        </w:rPr>
        <w:tab/>
      </w:r>
      <w:r>
        <w:rPr>
          <w:color w:val="2A2A2A"/>
          <w:w w:val="105"/>
          <w:sz w:val="17"/>
          <w:u w:val="single" w:color="000000"/>
        </w:rPr>
        <w:t>37</w:t>
      </w:r>
      <w:r>
        <w:rPr>
          <w:color w:val="4B4B4B"/>
          <w:w w:val="105"/>
          <w:sz w:val="17"/>
          <w:u w:val="single" w:color="000000"/>
        </w:rPr>
        <w:t>,</w:t>
      </w:r>
      <w:r>
        <w:rPr>
          <w:color w:val="2A2A2A"/>
          <w:w w:val="105"/>
          <w:sz w:val="17"/>
          <w:u w:val="single" w:color="000000"/>
        </w:rPr>
        <w:t>950</w:t>
        <w:tab/>
        <w:t>81,875</w:t>
      </w:r>
      <w:r>
        <w:rPr>
          <w:color w:val="2A2A2A"/>
          <w:sz w:val="17"/>
          <w:u w:val="single" w:color="000000"/>
        </w:rPr>
        <w:tab/>
      </w:r>
    </w:p>
    <w:p>
      <w:pPr>
        <w:pStyle w:val="BodyText"/>
        <w:spacing w:before="8"/>
        <w:rPr>
          <w:sz w:val="23"/>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
        <w:gridCol w:w="3651"/>
        <w:gridCol w:w="1648"/>
        <w:gridCol w:w="2244"/>
      </w:tblGrid>
      <w:tr>
        <w:trPr>
          <w:trHeight w:val="438" w:hRule="atLeast"/>
        </w:trPr>
        <w:tc>
          <w:tcPr>
            <w:tcW w:w="549" w:type="dxa"/>
          </w:tcPr>
          <w:p>
            <w:pPr>
              <w:pStyle w:val="TableParagraph"/>
              <w:spacing w:before="3"/>
              <w:ind w:left="50"/>
              <w:rPr>
                <w:b/>
                <w:sz w:val="17"/>
              </w:rPr>
            </w:pPr>
            <w:r>
              <w:rPr>
                <w:b/>
                <w:color w:val="2A2A2A"/>
                <w:w w:val="107"/>
                <w:sz w:val="17"/>
              </w:rPr>
              <w:t>6</w:t>
            </w:r>
          </w:p>
        </w:tc>
        <w:tc>
          <w:tcPr>
            <w:tcW w:w="3651" w:type="dxa"/>
          </w:tcPr>
          <w:p>
            <w:pPr>
              <w:pStyle w:val="TableParagraph"/>
              <w:spacing w:line="201" w:lineRule="exact"/>
              <w:ind w:left="42"/>
              <w:rPr>
                <w:b/>
                <w:sz w:val="18"/>
              </w:rPr>
            </w:pPr>
            <w:r>
              <w:rPr>
                <w:b/>
                <w:color w:val="2A2A2A"/>
                <w:sz w:val="18"/>
              </w:rPr>
              <w:t>Current Provisions</w:t>
            </w:r>
          </w:p>
          <w:p>
            <w:pPr>
              <w:pStyle w:val="TableParagraph"/>
              <w:spacing w:line="189" w:lineRule="exact" w:before="28"/>
              <w:ind w:left="52"/>
              <w:rPr>
                <w:sz w:val="17"/>
              </w:rPr>
            </w:pPr>
            <w:r>
              <w:rPr>
                <w:color w:val="2A2A2A"/>
                <w:w w:val="105"/>
                <w:sz w:val="17"/>
              </w:rPr>
              <w:t>Employee Entitlements:</w:t>
            </w:r>
          </w:p>
        </w:tc>
        <w:tc>
          <w:tcPr>
            <w:tcW w:w="3892" w:type="dxa"/>
            <w:gridSpan w:val="2"/>
          </w:tcPr>
          <w:p>
            <w:pPr>
              <w:pStyle w:val="TableParagraph"/>
              <w:rPr>
                <w:rFonts w:ascii="Times New Roman"/>
                <w:sz w:val="16"/>
              </w:rPr>
            </w:pPr>
          </w:p>
        </w:tc>
      </w:tr>
      <w:tr>
        <w:trPr>
          <w:trHeight w:val="221" w:hRule="atLeast"/>
        </w:trPr>
        <w:tc>
          <w:tcPr>
            <w:tcW w:w="549" w:type="dxa"/>
          </w:tcPr>
          <w:p>
            <w:pPr>
              <w:pStyle w:val="TableParagraph"/>
              <w:rPr>
                <w:rFonts w:ascii="Times New Roman"/>
                <w:sz w:val="14"/>
              </w:rPr>
            </w:pPr>
          </w:p>
        </w:tc>
        <w:tc>
          <w:tcPr>
            <w:tcW w:w="3651" w:type="dxa"/>
          </w:tcPr>
          <w:p>
            <w:pPr>
              <w:pStyle w:val="TableParagraph"/>
              <w:spacing w:line="189" w:lineRule="exact" w:before="12"/>
              <w:ind w:left="48"/>
              <w:rPr>
                <w:sz w:val="17"/>
              </w:rPr>
            </w:pPr>
            <w:r>
              <w:rPr>
                <w:color w:val="2A2A2A"/>
                <w:w w:val="105"/>
                <w:sz w:val="17"/>
              </w:rPr>
              <w:t>Long Service Leave </w:t>
            </w:r>
            <w:r>
              <w:rPr>
                <w:color w:val="4B4B4B"/>
                <w:w w:val="105"/>
                <w:sz w:val="17"/>
              </w:rPr>
              <w:t>- </w:t>
            </w:r>
            <w:r>
              <w:rPr>
                <w:color w:val="2A2A2A"/>
                <w:w w:val="105"/>
                <w:sz w:val="17"/>
              </w:rPr>
              <w:t>short term</w:t>
            </w:r>
          </w:p>
        </w:tc>
        <w:tc>
          <w:tcPr>
            <w:tcW w:w="1648" w:type="dxa"/>
          </w:tcPr>
          <w:p>
            <w:pPr>
              <w:pStyle w:val="TableParagraph"/>
              <w:spacing w:line="193" w:lineRule="exact" w:before="7"/>
              <w:ind w:right="463"/>
              <w:jc w:val="right"/>
              <w:rPr>
                <w:sz w:val="17"/>
              </w:rPr>
            </w:pPr>
            <w:r>
              <w:rPr>
                <w:color w:val="2A2A2A"/>
                <w:w w:val="105"/>
                <w:sz w:val="17"/>
              </w:rPr>
              <w:t>16,218</w:t>
            </w:r>
          </w:p>
        </w:tc>
        <w:tc>
          <w:tcPr>
            <w:tcW w:w="2244" w:type="dxa"/>
          </w:tcPr>
          <w:p>
            <w:pPr>
              <w:pStyle w:val="TableParagraph"/>
              <w:spacing w:line="193" w:lineRule="exact" w:before="7"/>
              <w:ind w:left="948"/>
              <w:rPr>
                <w:sz w:val="17"/>
              </w:rPr>
            </w:pPr>
            <w:r>
              <w:rPr>
                <w:color w:val="2A2A2A"/>
                <w:w w:val="110"/>
                <w:sz w:val="17"/>
              </w:rPr>
              <w:t>10,063</w:t>
            </w:r>
          </w:p>
        </w:tc>
      </w:tr>
      <w:tr>
        <w:trPr>
          <w:trHeight w:val="239" w:hRule="atLeast"/>
        </w:trPr>
        <w:tc>
          <w:tcPr>
            <w:tcW w:w="549" w:type="dxa"/>
          </w:tcPr>
          <w:p>
            <w:pPr>
              <w:pStyle w:val="TableParagraph"/>
              <w:rPr>
                <w:rFonts w:ascii="Times New Roman"/>
                <w:sz w:val="16"/>
              </w:rPr>
            </w:pPr>
          </w:p>
        </w:tc>
        <w:tc>
          <w:tcPr>
            <w:tcW w:w="3651" w:type="dxa"/>
          </w:tcPr>
          <w:p>
            <w:pPr>
              <w:pStyle w:val="TableParagraph"/>
              <w:spacing w:before="22"/>
              <w:ind w:left="48"/>
              <w:rPr>
                <w:sz w:val="17"/>
              </w:rPr>
            </w:pPr>
            <w:r>
              <w:rPr>
                <w:color w:val="2A2A2A"/>
                <w:w w:val="110"/>
                <w:sz w:val="17"/>
              </w:rPr>
              <w:t>Long Service Leave </w:t>
            </w:r>
            <w:r>
              <w:rPr>
                <w:color w:val="4B4B4B"/>
                <w:w w:val="110"/>
                <w:sz w:val="17"/>
              </w:rPr>
              <w:t>- </w:t>
            </w:r>
            <w:r>
              <w:rPr>
                <w:color w:val="2A2A2A"/>
                <w:w w:val="110"/>
                <w:sz w:val="17"/>
              </w:rPr>
              <w:t>long term</w:t>
            </w:r>
          </w:p>
        </w:tc>
        <w:tc>
          <w:tcPr>
            <w:tcW w:w="1648" w:type="dxa"/>
          </w:tcPr>
          <w:p>
            <w:pPr>
              <w:pStyle w:val="TableParagraph"/>
              <w:spacing w:before="12"/>
              <w:ind w:right="464"/>
              <w:jc w:val="right"/>
              <w:rPr>
                <w:sz w:val="17"/>
              </w:rPr>
            </w:pPr>
            <w:r>
              <w:rPr>
                <w:color w:val="2A2A2A"/>
                <w:w w:val="105"/>
                <w:sz w:val="17"/>
              </w:rPr>
              <w:t>28,123</w:t>
            </w:r>
          </w:p>
        </w:tc>
        <w:tc>
          <w:tcPr>
            <w:tcW w:w="2244" w:type="dxa"/>
          </w:tcPr>
          <w:p>
            <w:pPr>
              <w:pStyle w:val="TableParagraph"/>
              <w:spacing w:before="7"/>
              <w:ind w:left="957"/>
              <w:rPr>
                <w:sz w:val="17"/>
              </w:rPr>
            </w:pPr>
            <w:r>
              <w:rPr>
                <w:color w:val="2A2A2A"/>
                <w:w w:val="105"/>
                <w:sz w:val="17"/>
              </w:rPr>
              <w:t>28,123</w:t>
            </w:r>
          </w:p>
        </w:tc>
      </w:tr>
      <w:tr>
        <w:trPr>
          <w:trHeight w:val="337" w:hRule="atLeast"/>
        </w:trPr>
        <w:tc>
          <w:tcPr>
            <w:tcW w:w="8092" w:type="dxa"/>
            <w:gridSpan w:val="4"/>
          </w:tcPr>
          <w:p>
            <w:pPr>
              <w:pStyle w:val="TableParagraph"/>
              <w:tabs>
                <w:tab w:pos="4837" w:val="left" w:leader="none"/>
                <w:tab w:pos="6802" w:val="left" w:leader="none"/>
                <w:tab w:pos="8031" w:val="left" w:leader="none"/>
              </w:tabs>
              <w:spacing w:line="195" w:lineRule="exact"/>
              <w:ind w:left="4200"/>
              <w:rPr>
                <w:sz w:val="17"/>
              </w:rPr>
            </w:pPr>
            <w:r>
              <w:rPr>
                <w:color w:val="2A2A2A"/>
                <w:w w:val="100"/>
                <w:sz w:val="17"/>
                <w:u w:val="single" w:color="000000"/>
              </w:rPr>
              <w:t> </w:t>
            </w:r>
            <w:r>
              <w:rPr>
                <w:color w:val="2A2A2A"/>
                <w:sz w:val="17"/>
                <w:u w:val="single" w:color="000000"/>
              </w:rPr>
              <w:tab/>
            </w:r>
            <w:r>
              <w:rPr>
                <w:color w:val="2A2A2A"/>
                <w:w w:val="105"/>
                <w:sz w:val="17"/>
                <w:u w:val="single" w:color="000000"/>
              </w:rPr>
              <w:t>44,341</w:t>
              <w:tab/>
            </w:r>
            <w:r>
              <w:rPr>
                <w:color w:val="2A2A2A"/>
                <w:w w:val="105"/>
                <w:position w:val="1"/>
                <w:sz w:val="17"/>
                <w:u w:val="single" w:color="000000"/>
              </w:rPr>
              <w:t>38,186</w:t>
            </w:r>
            <w:r>
              <w:rPr>
                <w:color w:val="2A2A2A"/>
                <w:position w:val="1"/>
                <w:sz w:val="17"/>
                <w:u w:val="single" w:color="000000"/>
              </w:rPr>
              <w:tab/>
            </w:r>
          </w:p>
        </w:tc>
      </w:tr>
      <w:tr>
        <w:trPr>
          <w:trHeight w:val="357" w:hRule="atLeast"/>
        </w:trPr>
        <w:tc>
          <w:tcPr>
            <w:tcW w:w="4200" w:type="dxa"/>
            <w:gridSpan w:val="2"/>
          </w:tcPr>
          <w:p>
            <w:pPr>
              <w:pStyle w:val="TableParagraph"/>
              <w:spacing w:line="191" w:lineRule="exact" w:before="147"/>
              <w:ind w:left="610"/>
              <w:rPr>
                <w:sz w:val="17"/>
              </w:rPr>
            </w:pPr>
            <w:r>
              <w:rPr>
                <w:color w:val="2A2A2A"/>
                <w:w w:val="105"/>
                <w:sz w:val="17"/>
              </w:rPr>
              <w:t>Annual Leave</w:t>
            </w:r>
          </w:p>
        </w:tc>
        <w:tc>
          <w:tcPr>
            <w:tcW w:w="1648" w:type="dxa"/>
          </w:tcPr>
          <w:p>
            <w:pPr>
              <w:pStyle w:val="TableParagraph"/>
              <w:spacing w:line="191" w:lineRule="exact" w:before="147"/>
              <w:ind w:right="450"/>
              <w:jc w:val="right"/>
              <w:rPr>
                <w:sz w:val="17"/>
              </w:rPr>
            </w:pPr>
            <w:r>
              <w:rPr>
                <w:color w:val="2A2A2A"/>
                <w:w w:val="105"/>
                <w:sz w:val="17"/>
              </w:rPr>
              <w:t>32</w:t>
            </w:r>
            <w:r>
              <w:rPr>
                <w:color w:val="4B4B4B"/>
                <w:w w:val="105"/>
                <w:sz w:val="17"/>
              </w:rPr>
              <w:t>,</w:t>
            </w:r>
            <w:r>
              <w:rPr>
                <w:color w:val="2A2A2A"/>
                <w:w w:val="105"/>
                <w:sz w:val="17"/>
              </w:rPr>
              <w:t>513</w:t>
            </w:r>
          </w:p>
        </w:tc>
        <w:tc>
          <w:tcPr>
            <w:tcW w:w="2244" w:type="dxa"/>
          </w:tcPr>
          <w:p>
            <w:pPr>
              <w:pStyle w:val="TableParagraph"/>
              <w:spacing w:before="137"/>
              <w:ind w:left="962"/>
              <w:rPr>
                <w:sz w:val="17"/>
              </w:rPr>
            </w:pPr>
            <w:r>
              <w:rPr>
                <w:color w:val="2A2A2A"/>
                <w:w w:val="105"/>
                <w:sz w:val="17"/>
              </w:rPr>
              <w:t>23,081</w:t>
            </w:r>
          </w:p>
        </w:tc>
      </w:tr>
      <w:tr>
        <w:trPr>
          <w:trHeight w:val="228" w:hRule="atLeast"/>
        </w:trPr>
        <w:tc>
          <w:tcPr>
            <w:tcW w:w="4200" w:type="dxa"/>
            <w:gridSpan w:val="2"/>
          </w:tcPr>
          <w:p>
            <w:pPr>
              <w:pStyle w:val="TableParagraph"/>
              <w:spacing w:line="189" w:lineRule="exact" w:before="19"/>
              <w:ind w:left="606"/>
              <w:rPr>
                <w:sz w:val="17"/>
              </w:rPr>
            </w:pPr>
            <w:r>
              <w:rPr>
                <w:color w:val="2A2A2A"/>
                <w:w w:val="110"/>
                <w:sz w:val="17"/>
              </w:rPr>
              <w:t>Sick Leave</w:t>
            </w:r>
          </w:p>
        </w:tc>
        <w:tc>
          <w:tcPr>
            <w:tcW w:w="1648" w:type="dxa"/>
          </w:tcPr>
          <w:p>
            <w:pPr>
              <w:pStyle w:val="TableParagraph"/>
              <w:tabs>
                <w:tab w:pos="737" w:val="left" w:leader="none"/>
              </w:tabs>
              <w:spacing w:line="189" w:lineRule="exact" w:before="19"/>
              <w:ind w:right="452"/>
              <w:jc w:val="right"/>
              <w:rPr>
                <w:sz w:val="17"/>
              </w:rPr>
            </w:pPr>
            <w:r>
              <w:rPr>
                <w:color w:val="2A2A2A"/>
                <w:w w:val="100"/>
                <w:sz w:val="17"/>
                <w:u w:val="single" w:color="000000"/>
              </w:rPr>
              <w:t> </w:t>
            </w:r>
            <w:r>
              <w:rPr>
                <w:color w:val="2A2A2A"/>
                <w:sz w:val="17"/>
                <w:u w:val="single" w:color="000000"/>
              </w:rPr>
              <w:tab/>
            </w:r>
            <w:r>
              <w:rPr>
                <w:color w:val="2A2A2A"/>
                <w:spacing w:val="-2"/>
                <w:w w:val="105"/>
                <w:sz w:val="17"/>
              </w:rPr>
              <w:t>8,857</w:t>
            </w:r>
          </w:p>
        </w:tc>
        <w:tc>
          <w:tcPr>
            <w:tcW w:w="2244" w:type="dxa"/>
          </w:tcPr>
          <w:p>
            <w:pPr>
              <w:pStyle w:val="TableParagraph"/>
              <w:tabs>
                <w:tab w:pos="1060" w:val="left" w:leader="none"/>
                <w:tab w:pos="2194" w:val="left" w:leader="none"/>
              </w:tabs>
              <w:spacing w:before="10"/>
              <w:ind w:left="447"/>
              <w:rPr>
                <w:sz w:val="17"/>
              </w:rPr>
            </w:pPr>
            <w:r>
              <w:rPr>
                <w:color w:val="2A2A2A"/>
                <w:w w:val="100"/>
                <w:sz w:val="17"/>
                <w:u w:val="single" w:color="000000"/>
              </w:rPr>
              <w:t> </w:t>
            </w:r>
            <w:r>
              <w:rPr>
                <w:color w:val="2A2A2A"/>
                <w:sz w:val="17"/>
                <w:u w:val="single" w:color="000000"/>
              </w:rPr>
              <w:tab/>
            </w:r>
            <w:r>
              <w:rPr>
                <w:color w:val="2A2A2A"/>
                <w:w w:val="110"/>
                <w:sz w:val="17"/>
                <w:u w:val="single" w:color="000000"/>
              </w:rPr>
              <w:t>5,630</w:t>
            </w:r>
            <w:r>
              <w:rPr>
                <w:color w:val="2A2A2A"/>
                <w:sz w:val="17"/>
                <w:u w:val="single" w:color="000000"/>
              </w:rPr>
              <w:tab/>
            </w:r>
          </w:p>
        </w:tc>
      </w:tr>
      <w:tr>
        <w:trPr>
          <w:trHeight w:val="209" w:hRule="atLeast"/>
        </w:trPr>
        <w:tc>
          <w:tcPr>
            <w:tcW w:w="4200" w:type="dxa"/>
            <w:gridSpan w:val="2"/>
          </w:tcPr>
          <w:p>
            <w:pPr>
              <w:pStyle w:val="TableParagraph"/>
              <w:rPr>
                <w:rFonts w:ascii="Times New Roman"/>
                <w:sz w:val="14"/>
              </w:rPr>
            </w:pPr>
          </w:p>
        </w:tc>
        <w:tc>
          <w:tcPr>
            <w:tcW w:w="1648" w:type="dxa"/>
            <w:tcBorders>
              <w:bottom w:val="single" w:sz="8" w:space="0" w:color="000000"/>
            </w:tcBorders>
          </w:tcPr>
          <w:p>
            <w:pPr>
              <w:pStyle w:val="TableParagraph"/>
              <w:spacing w:line="182" w:lineRule="exact" w:before="7"/>
              <w:ind w:right="444"/>
              <w:jc w:val="right"/>
              <w:rPr>
                <w:sz w:val="17"/>
              </w:rPr>
            </w:pPr>
            <w:r>
              <w:rPr>
                <w:color w:val="2A2A2A"/>
                <w:w w:val="105"/>
                <w:sz w:val="17"/>
              </w:rPr>
              <w:t>41</w:t>
            </w:r>
            <w:r>
              <w:rPr>
                <w:color w:val="4B4B4B"/>
                <w:w w:val="105"/>
                <w:sz w:val="17"/>
              </w:rPr>
              <w:t>,</w:t>
            </w:r>
            <w:r>
              <w:rPr>
                <w:color w:val="2A2A2A"/>
                <w:w w:val="105"/>
                <w:sz w:val="17"/>
              </w:rPr>
              <w:t>371</w:t>
            </w:r>
          </w:p>
        </w:tc>
        <w:tc>
          <w:tcPr>
            <w:tcW w:w="2244" w:type="dxa"/>
            <w:tcBorders>
              <w:bottom w:val="single" w:sz="8" w:space="0" w:color="000000"/>
            </w:tcBorders>
          </w:tcPr>
          <w:p>
            <w:pPr>
              <w:pStyle w:val="TableParagraph"/>
              <w:spacing w:line="182" w:lineRule="exact" w:before="7"/>
              <w:ind w:left="962"/>
              <w:rPr>
                <w:sz w:val="17"/>
              </w:rPr>
            </w:pPr>
            <w:r>
              <w:rPr>
                <w:color w:val="2A2A2A"/>
                <w:w w:val="105"/>
                <w:sz w:val="17"/>
              </w:rPr>
              <w:t>28,711</w:t>
            </w:r>
          </w:p>
        </w:tc>
      </w:tr>
    </w:tbl>
    <w:p>
      <w:pPr>
        <w:spacing w:after="0" w:line="182" w:lineRule="exact"/>
        <w:rPr>
          <w:sz w:val="17"/>
        </w:rPr>
        <w:sectPr>
          <w:pgSz w:w="11910" w:h="16840"/>
          <w:pgMar w:header="0" w:footer="1209" w:top="1340" w:bottom="1420" w:left="480" w:right="380"/>
        </w:sectPr>
      </w:pPr>
    </w:p>
    <w:p>
      <w:pPr>
        <w:spacing w:before="70"/>
        <w:ind w:left="2620" w:right="0" w:firstLine="0"/>
        <w:jc w:val="left"/>
        <w:rPr>
          <w:b/>
          <w:sz w:val="19"/>
        </w:rPr>
      </w:pPr>
      <w:r>
        <w:rPr>
          <w:b/>
          <w:color w:val="1F1F1F"/>
          <w:sz w:val="19"/>
          <w:u w:val="thick" w:color="2D2D2D"/>
        </w:rPr>
        <w:t>PEOPLE WITH DISABILITIES (WA) </w:t>
      </w:r>
      <w:r>
        <w:rPr>
          <w:b/>
          <w:color w:val="2D2D2D"/>
          <w:sz w:val="19"/>
          <w:u w:val="thick" w:color="2D2D2D"/>
        </w:rPr>
        <w:t>Inc</w:t>
      </w:r>
    </w:p>
    <w:p>
      <w:pPr>
        <w:pStyle w:val="BodyText"/>
        <w:spacing w:before="8"/>
        <w:rPr>
          <w:b/>
          <w:sz w:val="11"/>
        </w:rPr>
      </w:pPr>
    </w:p>
    <w:p>
      <w:pPr>
        <w:spacing w:line="217" w:lineRule="exact" w:before="94"/>
        <w:ind w:left="1158" w:right="3755" w:firstLine="0"/>
        <w:jc w:val="center"/>
        <w:rPr>
          <w:b/>
          <w:sz w:val="19"/>
        </w:rPr>
      </w:pPr>
      <w:r>
        <w:rPr>
          <w:b/>
          <w:color w:val="1F1F1F"/>
          <w:sz w:val="19"/>
          <w:u w:val="thick" w:color="1F1F1F"/>
        </w:rPr>
        <w:t>Notes to and forming part of the accounts</w:t>
      </w:r>
    </w:p>
    <w:p>
      <w:pPr>
        <w:spacing w:line="217" w:lineRule="exact" w:before="0"/>
        <w:ind w:left="1155" w:right="3755" w:firstLine="0"/>
        <w:jc w:val="center"/>
        <w:rPr>
          <w:b/>
          <w:sz w:val="17"/>
        </w:rPr>
      </w:pPr>
      <w:r>
        <w:rPr>
          <w:b/>
          <w:color w:val="1F1F1F"/>
          <w:w w:val="105"/>
          <w:sz w:val="17"/>
          <w:u w:val="thick" w:color="1F1F1F"/>
        </w:rPr>
        <w:t>For the year </w:t>
      </w:r>
      <w:r>
        <w:rPr>
          <w:b/>
          <w:color w:val="1F1F1F"/>
          <w:w w:val="105"/>
          <w:sz w:val="19"/>
          <w:u w:val="thick" w:color="1F1F1F"/>
        </w:rPr>
        <w:t>ended </w:t>
      </w:r>
      <w:r>
        <w:rPr>
          <w:b/>
          <w:color w:val="1F1F1F"/>
          <w:w w:val="105"/>
          <w:sz w:val="17"/>
          <w:u w:val="thick" w:color="1F1F1F"/>
        </w:rPr>
        <w:t>30/06/2011</w:t>
      </w:r>
    </w:p>
    <w:p>
      <w:pPr>
        <w:pStyle w:val="BodyText"/>
        <w:spacing w:before="10"/>
        <w:rPr>
          <w:b/>
          <w:sz w:val="11"/>
        </w:rPr>
      </w:pPr>
    </w:p>
    <w:p>
      <w:pPr>
        <w:spacing w:after="0"/>
        <w:rPr>
          <w:sz w:val="11"/>
        </w:rPr>
        <w:sectPr>
          <w:pgSz w:w="11910" w:h="16840"/>
          <w:pgMar w:header="0" w:footer="1209" w:top="1280" w:bottom="1420" w:left="480" w:right="380"/>
        </w:sectPr>
      </w:pPr>
    </w:p>
    <w:p>
      <w:pPr>
        <w:spacing w:before="93"/>
        <w:ind w:left="0" w:right="0" w:firstLine="0"/>
        <w:jc w:val="right"/>
        <w:rPr>
          <w:rFonts w:ascii="Times New Roman"/>
          <w:sz w:val="19"/>
        </w:rPr>
      </w:pPr>
      <w:r>
        <w:rPr>
          <w:rFonts w:ascii="Times New Roman"/>
          <w:color w:val="1F1F1F"/>
          <w:sz w:val="19"/>
        </w:rPr>
        <w:t>2011</w:t>
      </w:r>
    </w:p>
    <w:p>
      <w:pPr>
        <w:spacing w:before="25"/>
        <w:ind w:left="0" w:right="140" w:firstLine="0"/>
        <w:jc w:val="right"/>
        <w:rPr>
          <w:sz w:val="17"/>
        </w:rPr>
      </w:pPr>
      <w:r>
        <w:rPr>
          <w:color w:val="2D2D2D"/>
          <w:w w:val="103"/>
          <w:sz w:val="17"/>
        </w:rPr>
        <w:t>$</w:t>
      </w:r>
    </w:p>
    <w:p>
      <w:pPr>
        <w:spacing w:before="93"/>
        <w:ind w:left="1553" w:right="3251" w:firstLine="0"/>
        <w:jc w:val="center"/>
        <w:rPr>
          <w:rFonts w:ascii="Times New Roman"/>
          <w:sz w:val="19"/>
        </w:rPr>
      </w:pPr>
      <w:r>
        <w:rPr/>
        <w:br w:type="column"/>
      </w:r>
      <w:r>
        <w:rPr>
          <w:rFonts w:ascii="Times New Roman"/>
          <w:color w:val="2D2D2D"/>
          <w:w w:val="105"/>
          <w:sz w:val="19"/>
        </w:rPr>
        <w:t>2010</w:t>
      </w:r>
    </w:p>
    <w:p>
      <w:pPr>
        <w:spacing w:before="25"/>
        <w:ind w:left="0" w:right="1697" w:firstLine="0"/>
        <w:jc w:val="center"/>
        <w:rPr>
          <w:sz w:val="17"/>
        </w:rPr>
      </w:pPr>
      <w:r>
        <w:rPr>
          <w:color w:val="1F1F1F"/>
          <w:w w:val="106"/>
          <w:sz w:val="17"/>
        </w:rPr>
        <w:t>$</w:t>
      </w:r>
    </w:p>
    <w:p>
      <w:pPr>
        <w:spacing w:after="0"/>
        <w:jc w:val="center"/>
        <w:rPr>
          <w:sz w:val="17"/>
        </w:rPr>
        <w:sectPr>
          <w:type w:val="continuous"/>
          <w:pgSz w:w="11910" w:h="16840"/>
          <w:pgMar w:top="1580" w:bottom="280" w:left="480" w:right="380"/>
          <w:cols w:num="2" w:equalWidth="0">
            <w:col w:w="5767" w:space="40"/>
            <w:col w:w="5243"/>
          </w:cols>
        </w:sectPr>
      </w:pPr>
    </w:p>
    <w:p>
      <w:pPr>
        <w:pStyle w:val="BodyText"/>
        <w:spacing w:before="4"/>
        <w:rPr>
          <w:sz w:val="12"/>
        </w:rPr>
      </w:pPr>
    </w:p>
    <w:p>
      <w:pPr>
        <w:pStyle w:val="ListParagraph"/>
        <w:numPr>
          <w:ilvl w:val="0"/>
          <w:numId w:val="8"/>
        </w:numPr>
        <w:tabs>
          <w:tab w:pos="1362" w:val="left" w:leader="none"/>
          <w:tab w:pos="1363" w:val="left" w:leader="none"/>
        </w:tabs>
        <w:spacing w:line="240" w:lineRule="auto" w:before="95" w:after="0"/>
        <w:ind w:left="1362" w:right="0" w:hanging="543"/>
        <w:jc w:val="left"/>
        <w:rPr>
          <w:b/>
          <w:color w:val="2D2D2D"/>
          <w:sz w:val="17"/>
        </w:rPr>
      </w:pPr>
      <w:r>
        <w:rPr>
          <w:b/>
          <w:color w:val="1F1F1F"/>
          <w:w w:val="105"/>
          <w:sz w:val="17"/>
        </w:rPr>
        <w:t>Non Operating</w:t>
      </w:r>
      <w:r>
        <w:rPr>
          <w:b/>
          <w:color w:val="1F1F1F"/>
          <w:spacing w:val="-4"/>
          <w:w w:val="105"/>
          <w:sz w:val="17"/>
        </w:rPr>
        <w:t> </w:t>
      </w:r>
      <w:r>
        <w:rPr>
          <w:b/>
          <w:color w:val="1F1F1F"/>
          <w:w w:val="105"/>
          <w:sz w:val="17"/>
        </w:rPr>
        <w:t>Income</w:t>
      </w:r>
    </w:p>
    <w:p>
      <w:pPr>
        <w:pStyle w:val="BodyText"/>
        <w:rPr>
          <w:b/>
          <w:sz w:val="21"/>
        </w:rPr>
      </w:pPr>
    </w:p>
    <w:p>
      <w:pPr>
        <w:spacing w:line="271" w:lineRule="auto" w:before="0"/>
        <w:ind w:left="1361" w:right="7506" w:firstLine="0"/>
        <w:jc w:val="left"/>
        <w:rPr>
          <w:sz w:val="17"/>
        </w:rPr>
      </w:pPr>
      <w:r>
        <w:rPr>
          <w:color w:val="2D2D2D"/>
          <w:w w:val="105"/>
          <w:sz w:val="17"/>
        </w:rPr>
        <w:t>Disability </w:t>
      </w:r>
      <w:r>
        <w:rPr>
          <w:color w:val="1F1F1F"/>
          <w:w w:val="105"/>
          <w:sz w:val="17"/>
        </w:rPr>
        <w:t>Services </w:t>
      </w:r>
      <w:r>
        <w:rPr>
          <w:color w:val="2D2D2D"/>
          <w:w w:val="105"/>
          <w:sz w:val="17"/>
        </w:rPr>
        <w:t>- </w:t>
      </w:r>
      <w:r>
        <w:rPr>
          <w:color w:val="1F1F1F"/>
          <w:w w:val="105"/>
          <w:sz w:val="17"/>
        </w:rPr>
        <w:t>vehicle </w:t>
      </w:r>
      <w:r>
        <w:rPr>
          <w:color w:val="2D2D2D"/>
          <w:w w:val="105"/>
          <w:sz w:val="17"/>
        </w:rPr>
        <w:t>FAHCSIA</w:t>
      </w:r>
    </w:p>
    <w:p>
      <w:pPr>
        <w:pStyle w:val="BodyText"/>
        <w:spacing w:before="8"/>
        <w:rPr>
          <w:sz w:val="12"/>
        </w:rPr>
      </w:pPr>
      <w:r>
        <w:rPr/>
        <w:pict>
          <v:line style="position:absolute;mso-position-horizontal-relative:page;mso-position-vertical-relative:paragraph;z-index:1840;mso-wrap-distance-left:0;mso-wrap-distance-right:0" from="274.926819pt,9.934045pt" to="330.200565pt,9.934045pt" stroked="true" strokeweight="1.201325pt" strokecolor="#000000">
            <v:stroke dashstyle="solid"/>
            <w10:wrap type="topAndBottom"/>
          </v:line>
        </w:pict>
      </w:r>
      <w:r>
        <w:rPr/>
        <w:pict>
          <v:line style="position:absolute;mso-position-horizontal-relative:page;mso-position-vertical-relative:paragraph;z-index:1864;mso-wrap-distance-left:0;mso-wrap-distance-right:0" from="377.784027pt,9.693779pt" to="426.328795pt,9.693779pt" stroked="true" strokeweight=".720795pt" strokecolor="#000000">
            <v:stroke dashstyle="solid"/>
            <w10:wrap type="topAndBottom"/>
          </v:line>
        </w:pict>
      </w:r>
      <w:r>
        <w:rPr/>
        <w:pict>
          <v:line style="position:absolute;mso-position-horizontal-relative:page;mso-position-vertical-relative:paragraph;z-index:1888;mso-wrap-distance-left:0;mso-wrap-distance-right:0" from="274.926819pt,21.707027pt" to="330.200565pt,21.707027pt" stroked="true" strokeweight="1.92212pt" strokecolor="#000000">
            <v:stroke dashstyle="solid"/>
            <w10:wrap type="topAndBottom"/>
          </v:line>
        </w:pict>
      </w:r>
      <w:r>
        <w:rPr/>
        <w:pict>
          <v:line style="position:absolute;mso-position-horizontal-relative:page;mso-position-vertical-relative:paragraph;z-index:1912;mso-wrap-distance-left:0;mso-wrap-distance-right:0" from="377.784027pt,21.226498pt" to="426.328795pt,21.226498pt" stroked="true" strokeweight="2.162385pt" strokecolor="#000000">
            <v:stroke dashstyle="solid"/>
            <w10:wrap type="topAndBottom"/>
          </v:line>
        </w:pict>
      </w:r>
    </w:p>
    <w:p>
      <w:pPr>
        <w:pStyle w:val="BodyText"/>
        <w:spacing w:before="7"/>
        <w:rPr>
          <w:sz w:val="10"/>
        </w:rPr>
      </w:pPr>
    </w:p>
    <w:p>
      <w:pPr>
        <w:pStyle w:val="BodyText"/>
        <w:rPr>
          <w:sz w:val="17"/>
        </w:rPr>
      </w:pPr>
    </w:p>
    <w:p>
      <w:pPr>
        <w:pStyle w:val="ListParagraph"/>
        <w:numPr>
          <w:ilvl w:val="0"/>
          <w:numId w:val="8"/>
        </w:numPr>
        <w:tabs>
          <w:tab w:pos="1366" w:val="left" w:leader="none"/>
          <w:tab w:pos="1367" w:val="left" w:leader="none"/>
        </w:tabs>
        <w:spacing w:line="240" w:lineRule="auto" w:before="0" w:after="0"/>
        <w:ind w:left="1366" w:right="0" w:hanging="552"/>
        <w:jc w:val="left"/>
        <w:rPr>
          <w:b/>
          <w:color w:val="1F1F1F"/>
          <w:sz w:val="19"/>
        </w:rPr>
      </w:pPr>
      <w:r>
        <w:rPr>
          <w:b/>
          <w:color w:val="1F1F1F"/>
          <w:sz w:val="19"/>
        </w:rPr>
        <w:t>Related Party</w:t>
      </w:r>
      <w:r>
        <w:rPr>
          <w:b/>
          <w:color w:val="1F1F1F"/>
          <w:spacing w:val="-9"/>
          <w:sz w:val="19"/>
        </w:rPr>
        <w:t> </w:t>
      </w:r>
      <w:r>
        <w:rPr>
          <w:b/>
          <w:color w:val="1F1F1F"/>
          <w:sz w:val="19"/>
        </w:rPr>
        <w:t>Disclosure</w:t>
      </w:r>
    </w:p>
    <w:p>
      <w:pPr>
        <w:pStyle w:val="BodyText"/>
        <w:spacing w:before="6"/>
        <w:rPr>
          <w:b/>
          <w:sz w:val="19"/>
        </w:rPr>
      </w:pPr>
    </w:p>
    <w:p>
      <w:pPr>
        <w:spacing w:before="0"/>
        <w:ind w:left="1361" w:right="0" w:firstLine="0"/>
        <w:jc w:val="left"/>
        <w:rPr>
          <w:sz w:val="17"/>
        </w:rPr>
      </w:pPr>
      <w:r>
        <w:rPr>
          <w:color w:val="2D2D2D"/>
          <w:w w:val="105"/>
          <w:sz w:val="17"/>
        </w:rPr>
        <w:t>The </w:t>
      </w:r>
      <w:r>
        <w:rPr>
          <w:color w:val="1F1F1F"/>
          <w:w w:val="105"/>
          <w:sz w:val="17"/>
        </w:rPr>
        <w:t>members of </w:t>
      </w:r>
      <w:r>
        <w:rPr>
          <w:color w:val="2D2D2D"/>
          <w:w w:val="105"/>
          <w:sz w:val="17"/>
        </w:rPr>
        <w:t>the </w:t>
      </w:r>
      <w:r>
        <w:rPr>
          <w:color w:val="1F1F1F"/>
          <w:w w:val="105"/>
          <w:sz w:val="17"/>
        </w:rPr>
        <w:t>Committee of Management during the </w:t>
      </w:r>
      <w:r>
        <w:rPr>
          <w:rFonts w:ascii="Times New Roman"/>
          <w:color w:val="1F1F1F"/>
          <w:w w:val="105"/>
          <w:sz w:val="19"/>
        </w:rPr>
        <w:t>2010/2011 </w:t>
      </w:r>
      <w:r>
        <w:rPr>
          <w:color w:val="1F1F1F"/>
          <w:w w:val="105"/>
          <w:sz w:val="17"/>
        </w:rPr>
        <w:t>year were;</w:t>
      </w:r>
    </w:p>
    <w:p>
      <w:pPr>
        <w:pStyle w:val="BodyText"/>
        <w:rPr>
          <w:sz w:val="20"/>
        </w:rPr>
      </w:pPr>
    </w:p>
    <w:p>
      <w:pPr>
        <w:pStyle w:val="BodyText"/>
        <w:spacing w:before="2"/>
        <w:rPr>
          <w:sz w:val="20"/>
        </w:rPr>
      </w:pPr>
    </w:p>
    <w:p>
      <w:pPr>
        <w:spacing w:before="0"/>
        <w:ind w:left="1367" w:right="0" w:firstLine="0"/>
        <w:jc w:val="left"/>
        <w:rPr>
          <w:sz w:val="17"/>
        </w:rPr>
      </w:pPr>
      <w:r>
        <w:rPr>
          <w:color w:val="1F1F1F"/>
          <w:w w:val="105"/>
          <w:sz w:val="17"/>
        </w:rPr>
        <w:t>Ms Mary-Anne Bath </w:t>
      </w:r>
      <w:r>
        <w:rPr>
          <w:color w:val="2D2D2D"/>
          <w:w w:val="105"/>
          <w:sz w:val="17"/>
        </w:rPr>
        <w:t>(President}</w:t>
      </w:r>
    </w:p>
    <w:p>
      <w:pPr>
        <w:spacing w:line="271" w:lineRule="auto" w:before="31"/>
        <w:ind w:left="1367" w:right="6568" w:firstLine="0"/>
        <w:jc w:val="left"/>
        <w:rPr>
          <w:sz w:val="17"/>
        </w:rPr>
      </w:pPr>
      <w:r>
        <w:rPr>
          <w:color w:val="1F1F1F"/>
          <w:w w:val="105"/>
          <w:sz w:val="17"/>
        </w:rPr>
        <w:t>Ms Monica McGhie (Vice Pres</w:t>
      </w:r>
      <w:r>
        <w:rPr>
          <w:color w:val="414141"/>
          <w:w w:val="105"/>
          <w:sz w:val="17"/>
        </w:rPr>
        <w:t>i</w:t>
      </w:r>
      <w:r>
        <w:rPr>
          <w:color w:val="1F1F1F"/>
          <w:w w:val="105"/>
          <w:sz w:val="17"/>
        </w:rPr>
        <w:t>den t) Ms Sharon Van der Laan </w:t>
      </w:r>
      <w:r>
        <w:rPr>
          <w:color w:val="2D2D2D"/>
          <w:w w:val="105"/>
          <w:sz w:val="17"/>
        </w:rPr>
        <w:t>(Treasurer} </w:t>
      </w:r>
      <w:r>
        <w:rPr>
          <w:color w:val="1F1F1F"/>
          <w:w w:val="105"/>
          <w:sz w:val="17"/>
        </w:rPr>
        <w:t>Ms Carmeline Elliot</w:t>
      </w:r>
    </w:p>
    <w:p>
      <w:pPr>
        <w:spacing w:before="5"/>
        <w:ind w:left="1367" w:right="0" w:firstLine="0"/>
        <w:jc w:val="left"/>
        <w:rPr>
          <w:sz w:val="17"/>
        </w:rPr>
      </w:pPr>
      <w:r>
        <w:rPr>
          <w:color w:val="1F1F1F"/>
          <w:w w:val="105"/>
          <w:sz w:val="17"/>
        </w:rPr>
        <w:t>Ms Trish Anderson</w:t>
      </w:r>
    </w:p>
    <w:p>
      <w:pPr>
        <w:spacing w:line="276" w:lineRule="auto" w:before="26"/>
        <w:ind w:left="1367" w:right="7339" w:firstLine="0"/>
        <w:jc w:val="left"/>
        <w:rPr>
          <w:sz w:val="17"/>
        </w:rPr>
      </w:pPr>
      <w:r>
        <w:rPr>
          <w:color w:val="1F1F1F"/>
          <w:w w:val="105"/>
          <w:sz w:val="17"/>
        </w:rPr>
        <w:t>Mr David Hides (Resigned} Mr Greg Madson (Secretary} Ms Leah Tomlinson-Clemens Ms Samantha Neylon</w:t>
      </w:r>
    </w:p>
    <w:p>
      <w:pPr>
        <w:pStyle w:val="BodyText"/>
        <w:rPr>
          <w:sz w:val="18"/>
        </w:rPr>
      </w:pPr>
    </w:p>
    <w:p>
      <w:pPr>
        <w:pStyle w:val="BodyText"/>
        <w:spacing w:before="6"/>
        <w:rPr>
          <w:sz w:val="19"/>
        </w:rPr>
      </w:pPr>
    </w:p>
    <w:p>
      <w:pPr>
        <w:pStyle w:val="ListParagraph"/>
        <w:numPr>
          <w:ilvl w:val="0"/>
          <w:numId w:val="8"/>
        </w:numPr>
        <w:tabs>
          <w:tab w:pos="1373" w:val="left" w:leader="none"/>
          <w:tab w:pos="1374" w:val="left" w:leader="none"/>
        </w:tabs>
        <w:spacing w:line="240" w:lineRule="auto" w:before="0" w:after="0"/>
        <w:ind w:left="1373" w:right="0" w:hanging="547"/>
        <w:jc w:val="left"/>
        <w:rPr>
          <w:b/>
          <w:color w:val="1F1F1F"/>
          <w:sz w:val="18"/>
        </w:rPr>
      </w:pPr>
      <w:r>
        <w:rPr>
          <w:b/>
          <w:color w:val="1F1F1F"/>
          <w:sz w:val="19"/>
        </w:rPr>
        <w:t>Superannuation</w:t>
      </w:r>
    </w:p>
    <w:p>
      <w:pPr>
        <w:pStyle w:val="BodyText"/>
        <w:spacing w:before="3"/>
        <w:rPr>
          <w:b/>
          <w:sz w:val="20"/>
        </w:rPr>
      </w:pPr>
    </w:p>
    <w:p>
      <w:pPr>
        <w:spacing w:line="271" w:lineRule="auto" w:before="0"/>
        <w:ind w:left="1374" w:right="2763" w:hanging="4"/>
        <w:jc w:val="left"/>
        <w:rPr>
          <w:sz w:val="17"/>
        </w:rPr>
      </w:pPr>
      <w:r>
        <w:rPr>
          <w:color w:val="2D2D2D"/>
          <w:w w:val="105"/>
          <w:sz w:val="17"/>
        </w:rPr>
        <w:t>The </w:t>
      </w:r>
      <w:r>
        <w:rPr>
          <w:color w:val="1F1F1F"/>
          <w:w w:val="105"/>
          <w:sz w:val="17"/>
        </w:rPr>
        <w:t>Association sponsor.. </w:t>
      </w:r>
      <w:r>
        <w:rPr>
          <w:color w:val="2D2D2D"/>
          <w:w w:val="105"/>
          <w:sz w:val="17"/>
        </w:rPr>
        <w:t>the </w:t>
      </w:r>
      <w:r>
        <w:rPr>
          <w:color w:val="1F1F1F"/>
          <w:w w:val="105"/>
          <w:sz w:val="17"/>
        </w:rPr>
        <w:t>following superannuation plan for employees, </w:t>
      </w:r>
      <w:r>
        <w:rPr>
          <w:color w:val="2D2D2D"/>
          <w:w w:val="105"/>
          <w:sz w:val="17"/>
        </w:rPr>
        <w:t>the </w:t>
      </w:r>
      <w:r>
        <w:rPr>
          <w:color w:val="1F1F1F"/>
          <w:w w:val="105"/>
          <w:sz w:val="17"/>
        </w:rPr>
        <w:t>de1ails of which are set out below:</w:t>
      </w:r>
    </w:p>
    <w:p>
      <w:pPr>
        <w:pStyle w:val="BodyText"/>
        <w:spacing w:before="3"/>
        <w:rPr>
          <w:sz w:val="19"/>
        </w:rPr>
      </w:pPr>
    </w:p>
    <w:p>
      <w:pPr>
        <w:spacing w:before="0"/>
        <w:ind w:left="1377" w:right="0" w:firstLine="0"/>
        <w:jc w:val="left"/>
        <w:rPr>
          <w:b/>
          <w:sz w:val="17"/>
        </w:rPr>
      </w:pPr>
      <w:r>
        <w:rPr>
          <w:b/>
          <w:color w:val="1F1F1F"/>
          <w:w w:val="105"/>
          <w:sz w:val="17"/>
        </w:rPr>
        <w:t>Funds Vary based on personal choice.</w:t>
      </w:r>
    </w:p>
    <w:p>
      <w:pPr>
        <w:pStyle w:val="BodyText"/>
        <w:spacing w:before="9"/>
        <w:rPr>
          <w:b/>
          <w:sz w:val="12"/>
        </w:rPr>
      </w:pPr>
    </w:p>
    <w:p>
      <w:pPr>
        <w:spacing w:after="0"/>
        <w:rPr>
          <w:sz w:val="12"/>
        </w:rPr>
        <w:sectPr>
          <w:type w:val="continuous"/>
          <w:pgSz w:w="11910" w:h="16840"/>
          <w:pgMar w:top="1580" w:bottom="280" w:left="480" w:right="380"/>
        </w:sectPr>
      </w:pPr>
    </w:p>
    <w:p>
      <w:pPr>
        <w:spacing w:before="105"/>
        <w:ind w:left="1376" w:right="0" w:firstLine="0"/>
        <w:jc w:val="left"/>
        <w:rPr>
          <w:sz w:val="17"/>
        </w:rPr>
      </w:pPr>
      <w:r>
        <w:rPr>
          <w:color w:val="2D2D2D"/>
          <w:w w:val="105"/>
          <w:sz w:val="17"/>
        </w:rPr>
        <w:t>Type </w:t>
      </w:r>
      <w:r>
        <w:rPr>
          <w:color w:val="1F1F1F"/>
          <w:w w:val="105"/>
          <w:sz w:val="17"/>
        </w:rPr>
        <w:t>of Benefits</w:t>
      </w:r>
    </w:p>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1376" w:right="0" w:firstLine="0"/>
        <w:jc w:val="left"/>
        <w:rPr>
          <w:sz w:val="17"/>
        </w:rPr>
      </w:pPr>
      <w:r>
        <w:rPr>
          <w:color w:val="2D2D2D"/>
          <w:w w:val="105"/>
          <w:sz w:val="17"/>
        </w:rPr>
        <w:t>Cont</w:t>
      </w:r>
      <w:r>
        <w:rPr>
          <w:color w:val="0F0F0F"/>
          <w:w w:val="105"/>
          <w:sz w:val="17"/>
        </w:rPr>
        <w:t>ribut</w:t>
      </w:r>
      <w:r>
        <w:rPr>
          <w:color w:val="2D2D2D"/>
          <w:w w:val="105"/>
          <w:sz w:val="17"/>
        </w:rPr>
        <w:t>ions </w:t>
      </w:r>
      <w:r>
        <w:rPr>
          <w:color w:val="1F1F1F"/>
          <w:w w:val="105"/>
          <w:sz w:val="17"/>
        </w:rPr>
        <w:t>by </w:t>
      </w:r>
      <w:r>
        <w:rPr>
          <w:color w:val="2D2D2D"/>
          <w:w w:val="105"/>
          <w:sz w:val="17"/>
        </w:rPr>
        <w:t>:</w:t>
      </w:r>
    </w:p>
    <w:p>
      <w:pPr>
        <w:pStyle w:val="BodyText"/>
        <w:spacing w:before="9"/>
        <w:rPr>
          <w:sz w:val="21"/>
        </w:rPr>
      </w:pPr>
    </w:p>
    <w:p>
      <w:pPr>
        <w:spacing w:before="0"/>
        <w:ind w:left="1369" w:right="0" w:firstLine="0"/>
        <w:jc w:val="left"/>
        <w:rPr>
          <w:sz w:val="17"/>
        </w:rPr>
      </w:pPr>
      <w:r>
        <w:rPr>
          <w:color w:val="777777"/>
          <w:w w:val="110"/>
          <w:sz w:val="17"/>
        </w:rPr>
        <w:t>.</w:t>
      </w:r>
      <w:r>
        <w:rPr>
          <w:color w:val="2D2D2D"/>
          <w:w w:val="110"/>
          <w:sz w:val="17"/>
        </w:rPr>
        <w:t>Employee</w:t>
      </w:r>
    </w:p>
    <w:p>
      <w:pPr>
        <w:pStyle w:val="BodyText"/>
        <w:spacing w:before="10"/>
        <w:rPr>
          <w:sz w:val="21"/>
        </w:rPr>
      </w:pPr>
    </w:p>
    <w:p>
      <w:pPr>
        <w:spacing w:before="0"/>
        <w:ind w:left="1383" w:right="0" w:firstLine="0"/>
        <w:jc w:val="left"/>
        <w:rPr>
          <w:sz w:val="17"/>
        </w:rPr>
      </w:pPr>
      <w:r>
        <w:rPr>
          <w:color w:val="414141"/>
          <w:w w:val="105"/>
          <w:sz w:val="17"/>
        </w:rPr>
        <w:t>.</w:t>
      </w:r>
      <w:r>
        <w:rPr>
          <w:color w:val="2D2D2D"/>
          <w:w w:val="105"/>
          <w:sz w:val="17"/>
        </w:rPr>
        <w:t>Employer</w:t>
      </w:r>
    </w:p>
    <w:p>
      <w:pPr>
        <w:spacing w:line="278" w:lineRule="auto" w:before="95"/>
        <w:ind w:left="443" w:right="2567" w:firstLine="1"/>
        <w:jc w:val="left"/>
        <w:rPr>
          <w:sz w:val="17"/>
        </w:rPr>
      </w:pPr>
      <w:r>
        <w:rPr/>
        <w:br w:type="column"/>
      </w:r>
      <w:r>
        <w:rPr>
          <w:color w:val="1F1F1F"/>
          <w:w w:val="105"/>
          <w:sz w:val="17"/>
        </w:rPr>
        <w:t>Accumulation of contributions of employee and employer. Covering </w:t>
      </w:r>
      <w:r>
        <w:rPr>
          <w:color w:val="2D2D2D"/>
          <w:w w:val="105"/>
          <w:sz w:val="17"/>
        </w:rPr>
        <w:t>all </w:t>
      </w:r>
      <w:r>
        <w:rPr>
          <w:color w:val="1F1F1F"/>
          <w:w w:val="105"/>
          <w:sz w:val="17"/>
        </w:rPr>
        <w:t>employees earning in excess of $450 per </w:t>
      </w:r>
      <w:r>
        <w:rPr>
          <w:color w:val="2D2D2D"/>
          <w:w w:val="105"/>
          <w:sz w:val="17"/>
        </w:rPr>
        <w:t>calendar month </w:t>
      </w:r>
      <w:r>
        <w:rPr>
          <w:color w:val="1F1F1F"/>
          <w:w w:val="105"/>
          <w:sz w:val="17"/>
        </w:rPr>
        <w:t>and providing benefits on </w:t>
      </w:r>
      <w:r>
        <w:rPr>
          <w:color w:val="2D2D2D"/>
          <w:w w:val="105"/>
          <w:sz w:val="17"/>
        </w:rPr>
        <w:t>retirement, </w:t>
      </w:r>
      <w:r>
        <w:rPr>
          <w:color w:val="1F1F1F"/>
          <w:w w:val="105"/>
          <w:sz w:val="17"/>
        </w:rPr>
        <w:t>death or permanent disabil</w:t>
      </w:r>
      <w:r>
        <w:rPr>
          <w:color w:val="414141"/>
          <w:w w:val="105"/>
          <w:sz w:val="17"/>
        </w:rPr>
        <w:t>i</w:t>
      </w:r>
      <w:r>
        <w:rPr>
          <w:color w:val="1F1F1F"/>
          <w:w w:val="105"/>
          <w:sz w:val="17"/>
        </w:rPr>
        <w:t>ty</w:t>
      </w:r>
      <w:r>
        <w:rPr>
          <w:color w:val="414141"/>
          <w:w w:val="105"/>
          <w:sz w:val="17"/>
        </w:rPr>
        <w:t>.</w:t>
      </w:r>
    </w:p>
    <w:p>
      <w:pPr>
        <w:pStyle w:val="BodyText"/>
        <w:rPr>
          <w:sz w:val="18"/>
        </w:rPr>
      </w:pPr>
    </w:p>
    <w:p>
      <w:pPr>
        <w:pStyle w:val="BodyText"/>
        <w:spacing w:before="10"/>
        <w:rPr>
          <w:sz w:val="18"/>
        </w:rPr>
      </w:pPr>
    </w:p>
    <w:p>
      <w:pPr>
        <w:spacing w:line="440" w:lineRule="atLeast" w:before="1"/>
        <w:ind w:left="447" w:right="4234" w:firstLine="3"/>
        <w:jc w:val="left"/>
        <w:rPr>
          <w:sz w:val="17"/>
        </w:rPr>
      </w:pPr>
      <w:r>
        <w:rPr>
          <w:color w:val="2D2D2D"/>
          <w:w w:val="110"/>
          <w:sz w:val="17"/>
        </w:rPr>
        <w:t>Nil</w:t>
      </w:r>
      <w:r>
        <w:rPr>
          <w:color w:val="2D2D2D"/>
          <w:spacing w:val="-24"/>
          <w:w w:val="110"/>
          <w:sz w:val="17"/>
        </w:rPr>
        <w:t> </w:t>
      </w:r>
      <w:r>
        <w:rPr>
          <w:color w:val="1F1F1F"/>
          <w:w w:val="110"/>
          <w:sz w:val="17"/>
        </w:rPr>
        <w:t>to</w:t>
      </w:r>
      <w:r>
        <w:rPr>
          <w:color w:val="1F1F1F"/>
          <w:spacing w:val="-23"/>
          <w:w w:val="110"/>
          <w:sz w:val="17"/>
        </w:rPr>
        <w:t> </w:t>
      </w:r>
      <w:r>
        <w:rPr>
          <w:color w:val="1F1F1F"/>
          <w:w w:val="110"/>
          <w:sz w:val="17"/>
        </w:rPr>
        <w:t>Unlimited</w:t>
      </w:r>
      <w:r>
        <w:rPr>
          <w:color w:val="1F1F1F"/>
          <w:spacing w:val="-22"/>
          <w:w w:val="110"/>
          <w:sz w:val="17"/>
        </w:rPr>
        <w:t> </w:t>
      </w:r>
      <w:r>
        <w:rPr>
          <w:color w:val="1F1F1F"/>
          <w:w w:val="110"/>
          <w:sz w:val="17"/>
        </w:rPr>
        <w:t>based</w:t>
      </w:r>
      <w:r>
        <w:rPr>
          <w:color w:val="1F1F1F"/>
          <w:spacing w:val="-22"/>
          <w:w w:val="110"/>
          <w:sz w:val="17"/>
        </w:rPr>
        <w:t> </w:t>
      </w:r>
      <w:r>
        <w:rPr>
          <w:color w:val="1F1F1F"/>
          <w:w w:val="110"/>
          <w:sz w:val="17"/>
        </w:rPr>
        <w:t>on</w:t>
      </w:r>
      <w:r>
        <w:rPr>
          <w:color w:val="1F1F1F"/>
          <w:spacing w:val="-26"/>
          <w:w w:val="110"/>
          <w:sz w:val="17"/>
        </w:rPr>
        <w:t> </w:t>
      </w:r>
      <w:r>
        <w:rPr>
          <w:color w:val="1F1F1F"/>
          <w:w w:val="110"/>
          <w:sz w:val="17"/>
        </w:rPr>
        <w:t>personal</w:t>
      </w:r>
      <w:r>
        <w:rPr>
          <w:color w:val="1F1F1F"/>
          <w:spacing w:val="-18"/>
          <w:w w:val="110"/>
          <w:sz w:val="17"/>
        </w:rPr>
        <w:t> </w:t>
      </w:r>
      <w:r>
        <w:rPr>
          <w:color w:val="1F1F1F"/>
          <w:w w:val="110"/>
          <w:sz w:val="17"/>
        </w:rPr>
        <w:t>choice 9% </w:t>
      </w:r>
      <w:r>
        <w:rPr>
          <w:color w:val="2D2D2D"/>
          <w:w w:val="110"/>
          <w:sz w:val="17"/>
        </w:rPr>
        <w:t>based </w:t>
      </w:r>
      <w:r>
        <w:rPr>
          <w:color w:val="1F1F1F"/>
          <w:w w:val="110"/>
          <w:sz w:val="17"/>
        </w:rPr>
        <w:t>on </w:t>
      </w:r>
      <w:r>
        <w:rPr>
          <w:color w:val="2D2D2D"/>
          <w:w w:val="110"/>
          <w:sz w:val="17"/>
        </w:rPr>
        <w:t>Government</w:t>
      </w:r>
      <w:r>
        <w:rPr>
          <w:color w:val="2D2D2D"/>
          <w:spacing w:val="-19"/>
          <w:w w:val="110"/>
          <w:sz w:val="17"/>
        </w:rPr>
        <w:t> </w:t>
      </w:r>
      <w:r>
        <w:rPr>
          <w:color w:val="2D2D2D"/>
          <w:w w:val="110"/>
          <w:sz w:val="17"/>
        </w:rPr>
        <w:t>Legislation</w:t>
      </w:r>
      <w:r>
        <w:rPr>
          <w:color w:val="1F1F1F"/>
          <w:w w:val="110"/>
          <w:sz w:val="17"/>
        </w:rPr>
        <w:t>.</w:t>
      </w:r>
    </w:p>
    <w:p>
      <w:pPr>
        <w:spacing w:line="273" w:lineRule="auto" w:before="27"/>
        <w:ind w:left="453" w:right="2201" w:hanging="3"/>
        <w:jc w:val="left"/>
        <w:rPr>
          <w:sz w:val="17"/>
        </w:rPr>
      </w:pPr>
      <w:r>
        <w:rPr>
          <w:color w:val="2D2D2D"/>
          <w:w w:val="110"/>
          <w:sz w:val="17"/>
        </w:rPr>
        <w:t>The</w:t>
      </w:r>
      <w:r>
        <w:rPr>
          <w:color w:val="2D2D2D"/>
          <w:spacing w:val="-16"/>
          <w:w w:val="110"/>
          <w:sz w:val="17"/>
        </w:rPr>
        <w:t> </w:t>
      </w:r>
      <w:r>
        <w:rPr>
          <w:color w:val="1F1F1F"/>
          <w:w w:val="110"/>
          <w:sz w:val="17"/>
        </w:rPr>
        <w:t>Association</w:t>
      </w:r>
      <w:r>
        <w:rPr>
          <w:color w:val="1F1F1F"/>
          <w:spacing w:val="-12"/>
          <w:w w:val="110"/>
          <w:sz w:val="17"/>
        </w:rPr>
        <w:t> </w:t>
      </w:r>
      <w:r>
        <w:rPr>
          <w:color w:val="1F1F1F"/>
          <w:w w:val="110"/>
          <w:sz w:val="17"/>
        </w:rPr>
        <w:t>has</w:t>
      </w:r>
      <w:r>
        <w:rPr>
          <w:color w:val="1F1F1F"/>
          <w:spacing w:val="-21"/>
          <w:w w:val="110"/>
          <w:sz w:val="17"/>
        </w:rPr>
        <w:t> </w:t>
      </w:r>
      <w:r>
        <w:rPr>
          <w:color w:val="1F1F1F"/>
          <w:w w:val="110"/>
          <w:sz w:val="17"/>
        </w:rPr>
        <w:t>a</w:t>
      </w:r>
      <w:r>
        <w:rPr>
          <w:color w:val="1F1F1F"/>
          <w:spacing w:val="-20"/>
          <w:w w:val="110"/>
          <w:sz w:val="17"/>
        </w:rPr>
        <w:t> </w:t>
      </w:r>
      <w:r>
        <w:rPr>
          <w:color w:val="1F1F1F"/>
          <w:w w:val="110"/>
          <w:sz w:val="17"/>
        </w:rPr>
        <w:t>legal</w:t>
      </w:r>
      <w:r>
        <w:rPr>
          <w:color w:val="1F1F1F"/>
          <w:spacing w:val="-17"/>
          <w:w w:val="110"/>
          <w:sz w:val="17"/>
        </w:rPr>
        <w:t> </w:t>
      </w:r>
      <w:r>
        <w:rPr>
          <w:color w:val="1F1F1F"/>
          <w:w w:val="110"/>
          <w:sz w:val="17"/>
        </w:rPr>
        <w:t>obligation</w:t>
      </w:r>
      <w:r>
        <w:rPr>
          <w:color w:val="1F1F1F"/>
          <w:spacing w:val="-15"/>
          <w:w w:val="110"/>
          <w:sz w:val="17"/>
        </w:rPr>
        <w:t> </w:t>
      </w:r>
      <w:r>
        <w:rPr>
          <w:color w:val="2D2D2D"/>
          <w:w w:val="110"/>
          <w:sz w:val="17"/>
        </w:rPr>
        <w:t>to</w:t>
      </w:r>
      <w:r>
        <w:rPr>
          <w:color w:val="2D2D2D"/>
          <w:spacing w:val="-16"/>
          <w:w w:val="110"/>
          <w:sz w:val="17"/>
        </w:rPr>
        <w:t> </w:t>
      </w:r>
      <w:r>
        <w:rPr>
          <w:color w:val="1F1F1F"/>
          <w:w w:val="110"/>
          <w:sz w:val="17"/>
        </w:rPr>
        <w:t>contribute</w:t>
      </w:r>
      <w:r>
        <w:rPr>
          <w:color w:val="1F1F1F"/>
          <w:spacing w:val="-17"/>
          <w:w w:val="110"/>
          <w:sz w:val="17"/>
        </w:rPr>
        <w:t> </w:t>
      </w:r>
      <w:r>
        <w:rPr>
          <w:color w:val="1F1F1F"/>
          <w:w w:val="110"/>
          <w:sz w:val="17"/>
        </w:rPr>
        <w:t>as</w:t>
      </w:r>
      <w:r>
        <w:rPr>
          <w:color w:val="1F1F1F"/>
          <w:spacing w:val="-22"/>
          <w:w w:val="110"/>
          <w:sz w:val="17"/>
        </w:rPr>
        <w:t> </w:t>
      </w:r>
      <w:r>
        <w:rPr>
          <w:color w:val="1F1F1F"/>
          <w:w w:val="110"/>
          <w:sz w:val="17"/>
        </w:rPr>
        <w:t>set</w:t>
      </w:r>
      <w:r>
        <w:rPr>
          <w:color w:val="1F1F1F"/>
          <w:spacing w:val="-24"/>
          <w:w w:val="110"/>
          <w:sz w:val="17"/>
        </w:rPr>
        <w:t> </w:t>
      </w:r>
      <w:r>
        <w:rPr>
          <w:color w:val="1F1F1F"/>
          <w:w w:val="110"/>
          <w:sz w:val="17"/>
        </w:rPr>
        <w:t>out</w:t>
      </w:r>
      <w:r>
        <w:rPr>
          <w:color w:val="1F1F1F"/>
          <w:spacing w:val="-22"/>
          <w:w w:val="110"/>
          <w:sz w:val="17"/>
        </w:rPr>
        <w:t> </w:t>
      </w:r>
      <w:r>
        <w:rPr>
          <w:color w:val="2D2D2D"/>
          <w:w w:val="110"/>
          <w:sz w:val="17"/>
        </w:rPr>
        <w:t>in</w:t>
      </w:r>
      <w:r>
        <w:rPr>
          <w:color w:val="2D2D2D"/>
          <w:spacing w:val="-16"/>
          <w:w w:val="110"/>
          <w:sz w:val="17"/>
        </w:rPr>
        <w:t> </w:t>
      </w:r>
      <w:r>
        <w:rPr>
          <w:color w:val="1F1F1F"/>
          <w:w w:val="110"/>
          <w:sz w:val="17"/>
        </w:rPr>
        <w:t>the Superannuation</w:t>
      </w:r>
      <w:r>
        <w:rPr>
          <w:color w:val="1F1F1F"/>
          <w:spacing w:val="-24"/>
          <w:w w:val="110"/>
          <w:sz w:val="17"/>
        </w:rPr>
        <w:t> </w:t>
      </w:r>
      <w:r>
        <w:rPr>
          <w:color w:val="1F1F1F"/>
          <w:w w:val="110"/>
          <w:sz w:val="17"/>
        </w:rPr>
        <w:t>guarantee</w:t>
      </w:r>
      <w:r>
        <w:rPr>
          <w:color w:val="1F1F1F"/>
          <w:spacing w:val="-17"/>
          <w:w w:val="110"/>
          <w:sz w:val="17"/>
        </w:rPr>
        <w:t> </w:t>
      </w:r>
      <w:r>
        <w:rPr>
          <w:color w:val="1F1F1F"/>
          <w:w w:val="110"/>
          <w:sz w:val="17"/>
        </w:rPr>
        <w:t>legislation,</w:t>
      </w:r>
      <w:r>
        <w:rPr>
          <w:color w:val="1F1F1F"/>
          <w:spacing w:val="-17"/>
          <w:w w:val="110"/>
          <w:sz w:val="17"/>
        </w:rPr>
        <w:t> </w:t>
      </w:r>
      <w:r>
        <w:rPr>
          <w:color w:val="1F1F1F"/>
          <w:w w:val="110"/>
          <w:sz w:val="17"/>
        </w:rPr>
        <w:t>but</w:t>
      </w:r>
      <w:r>
        <w:rPr>
          <w:color w:val="1F1F1F"/>
          <w:spacing w:val="-14"/>
          <w:w w:val="110"/>
          <w:sz w:val="17"/>
        </w:rPr>
        <w:t> </w:t>
      </w:r>
      <w:r>
        <w:rPr>
          <w:color w:val="1F1F1F"/>
          <w:w w:val="110"/>
          <w:sz w:val="17"/>
        </w:rPr>
        <w:t>has</w:t>
      </w:r>
      <w:r>
        <w:rPr>
          <w:color w:val="1F1F1F"/>
          <w:spacing w:val="-24"/>
          <w:w w:val="110"/>
          <w:sz w:val="17"/>
        </w:rPr>
        <w:t> </w:t>
      </w:r>
      <w:r>
        <w:rPr>
          <w:color w:val="2D2D2D"/>
          <w:w w:val="110"/>
          <w:sz w:val="17"/>
        </w:rPr>
        <w:t>the</w:t>
      </w:r>
      <w:r>
        <w:rPr>
          <w:color w:val="2D2D2D"/>
          <w:spacing w:val="-25"/>
          <w:w w:val="110"/>
          <w:sz w:val="17"/>
        </w:rPr>
        <w:t> </w:t>
      </w:r>
      <w:r>
        <w:rPr>
          <w:color w:val="2D2D2D"/>
          <w:w w:val="110"/>
          <w:sz w:val="17"/>
        </w:rPr>
        <w:t>right</w:t>
      </w:r>
      <w:r>
        <w:rPr>
          <w:color w:val="2D2D2D"/>
          <w:spacing w:val="-22"/>
          <w:w w:val="110"/>
          <w:sz w:val="17"/>
        </w:rPr>
        <w:t> </w:t>
      </w:r>
      <w:r>
        <w:rPr>
          <w:color w:val="1F1F1F"/>
          <w:w w:val="110"/>
          <w:sz w:val="17"/>
        </w:rPr>
        <w:t>to</w:t>
      </w:r>
      <w:r>
        <w:rPr>
          <w:color w:val="1F1F1F"/>
          <w:spacing w:val="-20"/>
          <w:w w:val="110"/>
          <w:sz w:val="17"/>
        </w:rPr>
        <w:t> </w:t>
      </w:r>
      <w:r>
        <w:rPr>
          <w:color w:val="1F1F1F"/>
          <w:w w:val="110"/>
          <w:sz w:val="17"/>
        </w:rPr>
        <w:t>vary</w:t>
      </w:r>
      <w:r>
        <w:rPr>
          <w:color w:val="1F1F1F"/>
          <w:spacing w:val="-22"/>
          <w:w w:val="110"/>
          <w:sz w:val="17"/>
        </w:rPr>
        <w:t> </w:t>
      </w:r>
      <w:r>
        <w:rPr>
          <w:color w:val="2D2D2D"/>
          <w:w w:val="110"/>
          <w:sz w:val="17"/>
        </w:rPr>
        <w:t>the </w:t>
      </w:r>
      <w:r>
        <w:rPr>
          <w:color w:val="1F1F1F"/>
          <w:w w:val="110"/>
          <w:sz w:val="17"/>
        </w:rPr>
        <w:t>rate</w:t>
      </w:r>
      <w:r>
        <w:rPr>
          <w:color w:val="1F1F1F"/>
          <w:spacing w:val="-12"/>
          <w:w w:val="110"/>
          <w:sz w:val="17"/>
        </w:rPr>
        <w:t> </w:t>
      </w:r>
      <w:r>
        <w:rPr>
          <w:color w:val="1F1F1F"/>
          <w:w w:val="110"/>
          <w:sz w:val="17"/>
        </w:rPr>
        <w:t>of,</w:t>
      </w:r>
      <w:r>
        <w:rPr>
          <w:color w:val="1F1F1F"/>
          <w:spacing w:val="-13"/>
          <w:w w:val="110"/>
          <w:sz w:val="17"/>
        </w:rPr>
        <w:t> </w:t>
      </w:r>
      <w:r>
        <w:rPr>
          <w:color w:val="1F1F1F"/>
          <w:w w:val="110"/>
          <w:sz w:val="17"/>
        </w:rPr>
        <w:t>orterminate,</w:t>
      </w:r>
      <w:r>
        <w:rPr>
          <w:color w:val="1F1F1F"/>
          <w:spacing w:val="0"/>
          <w:w w:val="110"/>
          <w:sz w:val="17"/>
        </w:rPr>
        <w:t> </w:t>
      </w:r>
      <w:r>
        <w:rPr>
          <w:color w:val="1F1F1F"/>
          <w:w w:val="110"/>
          <w:sz w:val="17"/>
        </w:rPr>
        <w:t>contributions</w:t>
      </w:r>
      <w:r>
        <w:rPr>
          <w:color w:val="1F1F1F"/>
          <w:spacing w:val="-5"/>
          <w:w w:val="110"/>
          <w:sz w:val="17"/>
        </w:rPr>
        <w:t> </w:t>
      </w:r>
      <w:r>
        <w:rPr>
          <w:color w:val="2D2D2D"/>
          <w:w w:val="110"/>
          <w:sz w:val="17"/>
        </w:rPr>
        <w:t>upon</w:t>
      </w:r>
      <w:r>
        <w:rPr>
          <w:color w:val="2D2D2D"/>
          <w:spacing w:val="-23"/>
          <w:w w:val="110"/>
          <w:sz w:val="17"/>
        </w:rPr>
        <w:t> </w:t>
      </w:r>
      <w:r>
        <w:rPr>
          <w:color w:val="1F1F1F"/>
          <w:w w:val="110"/>
          <w:sz w:val="17"/>
        </w:rPr>
        <w:t>giving</w:t>
      </w:r>
      <w:r>
        <w:rPr>
          <w:color w:val="1F1F1F"/>
          <w:spacing w:val="-10"/>
          <w:w w:val="110"/>
          <w:sz w:val="17"/>
        </w:rPr>
        <w:t> </w:t>
      </w:r>
      <w:r>
        <w:rPr>
          <w:color w:val="2D2D2D"/>
          <w:w w:val="110"/>
          <w:sz w:val="17"/>
        </w:rPr>
        <w:t>notice</w:t>
      </w:r>
      <w:r>
        <w:rPr>
          <w:color w:val="2D2D2D"/>
          <w:spacing w:val="-2"/>
          <w:w w:val="110"/>
          <w:sz w:val="17"/>
        </w:rPr>
        <w:t> </w:t>
      </w:r>
      <w:r>
        <w:rPr>
          <w:color w:val="1F1F1F"/>
          <w:w w:val="110"/>
          <w:sz w:val="17"/>
        </w:rPr>
        <w:t>as</w:t>
      </w:r>
    </w:p>
    <w:p>
      <w:pPr>
        <w:spacing w:line="271" w:lineRule="auto" w:before="4"/>
        <w:ind w:left="454" w:right="3094" w:hanging="2"/>
        <w:jc w:val="left"/>
        <w:rPr>
          <w:sz w:val="17"/>
        </w:rPr>
      </w:pPr>
      <w:r>
        <w:rPr>
          <w:color w:val="1F1F1F"/>
          <w:w w:val="105"/>
          <w:sz w:val="17"/>
        </w:rPr>
        <w:t>prescribed </w:t>
      </w:r>
      <w:r>
        <w:rPr>
          <w:color w:val="2D2D2D"/>
          <w:w w:val="105"/>
          <w:sz w:val="17"/>
        </w:rPr>
        <w:t>in </w:t>
      </w:r>
      <w:r>
        <w:rPr>
          <w:color w:val="1F1F1F"/>
          <w:w w:val="105"/>
          <w:sz w:val="17"/>
        </w:rPr>
        <w:t>the deed, subject to superannuation guarantee conditions</w:t>
      </w:r>
      <w:r>
        <w:rPr>
          <w:color w:val="414141"/>
          <w:w w:val="105"/>
          <w:sz w:val="17"/>
        </w:rPr>
        <w:t>.</w:t>
      </w:r>
    </w:p>
    <w:p>
      <w:pPr>
        <w:spacing w:after="0" w:line="271" w:lineRule="auto"/>
        <w:jc w:val="left"/>
        <w:rPr>
          <w:sz w:val="17"/>
        </w:rPr>
        <w:sectPr>
          <w:type w:val="continuous"/>
          <w:pgSz w:w="11910" w:h="16840"/>
          <w:pgMar w:top="1580" w:bottom="280" w:left="480" w:right="380"/>
          <w:cols w:num="2" w:equalWidth="0">
            <w:col w:w="2770" w:space="40"/>
            <w:col w:w="8240"/>
          </w:cols>
        </w:sectPr>
      </w:pPr>
    </w:p>
    <w:p>
      <w:pPr>
        <w:pStyle w:val="BodyText"/>
        <w:spacing w:before="5"/>
        <w:rPr>
          <w:sz w:val="11"/>
        </w:rPr>
      </w:pPr>
    </w:p>
    <w:p>
      <w:pPr>
        <w:spacing w:before="95"/>
        <w:ind w:left="1385" w:right="0" w:firstLine="0"/>
        <w:jc w:val="left"/>
        <w:rPr>
          <w:sz w:val="17"/>
        </w:rPr>
      </w:pPr>
      <w:r>
        <w:rPr>
          <w:color w:val="1F1F1F"/>
          <w:w w:val="105"/>
          <w:sz w:val="17"/>
        </w:rPr>
        <w:t>Each fund </w:t>
      </w:r>
      <w:r>
        <w:rPr>
          <w:color w:val="2D2D2D"/>
          <w:w w:val="105"/>
          <w:sz w:val="17"/>
        </w:rPr>
        <w:t>is </w:t>
      </w:r>
      <w:r>
        <w:rPr>
          <w:color w:val="1F1F1F"/>
          <w:w w:val="105"/>
          <w:sz w:val="17"/>
        </w:rPr>
        <w:t>self administered by </w:t>
      </w:r>
      <w:r>
        <w:rPr>
          <w:color w:val="2D2D2D"/>
          <w:w w:val="105"/>
          <w:sz w:val="17"/>
        </w:rPr>
        <w:t>the </w:t>
      </w:r>
      <w:r>
        <w:rPr>
          <w:color w:val="1F1F1F"/>
          <w:w w:val="105"/>
          <w:sz w:val="17"/>
        </w:rPr>
        <w:t>Superannuation Company</w:t>
      </w:r>
    </w:p>
    <w:p>
      <w:pPr>
        <w:spacing w:after="0"/>
        <w:jc w:val="left"/>
        <w:rPr>
          <w:sz w:val="17"/>
        </w:rPr>
        <w:sectPr>
          <w:type w:val="continuous"/>
          <w:pgSz w:w="11910" w:h="16840"/>
          <w:pgMar w:top="1580" w:bottom="280" w:left="480" w:right="380"/>
        </w:sectPr>
      </w:pPr>
    </w:p>
    <w:p>
      <w:pPr>
        <w:pStyle w:val="BodyText"/>
        <w:spacing w:before="4"/>
        <w:rPr>
          <w:rFonts w:ascii="Times New Roman"/>
          <w:sz w:val="17"/>
        </w:rPr>
      </w:pPr>
    </w:p>
    <w:p>
      <w:pPr>
        <w:spacing w:after="0"/>
        <w:rPr>
          <w:rFonts w:ascii="Times New Roman"/>
          <w:sz w:val="17"/>
        </w:rPr>
        <w:sectPr>
          <w:footerReference w:type="default" r:id="rId44"/>
          <w:pgSz w:w="11910" w:h="16840"/>
          <w:pgMar w:footer="0" w:header="0" w:top="1580" w:bottom="280" w:left="1680" w:right="1680"/>
        </w:sectPr>
      </w:pPr>
    </w:p>
    <w:p>
      <w:pPr>
        <w:pStyle w:val="BodyText"/>
        <w:spacing w:before="4"/>
        <w:rPr>
          <w:rFonts w:ascii="Times New Roman"/>
          <w:sz w:val="17"/>
        </w:rPr>
      </w:pPr>
    </w:p>
    <w:p>
      <w:pPr>
        <w:spacing w:after="0"/>
        <w:rPr>
          <w:rFonts w:ascii="Times New Roman"/>
          <w:sz w:val="17"/>
        </w:rPr>
        <w:sectPr>
          <w:footerReference w:type="default" r:id="rId45"/>
          <w:pgSz w:w="11910" w:h="16840"/>
          <w:pgMar w:footer="0" w:head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pStyle w:val="BodyText"/>
        <w:ind w:left="3906"/>
        <w:rPr>
          <w:rFonts w:ascii="Times New Roman"/>
          <w:sz w:val="20"/>
        </w:rPr>
      </w:pPr>
      <w:r>
        <w:rPr>
          <w:rFonts w:ascii="Times New Roman"/>
          <w:sz w:val="20"/>
        </w:rPr>
        <w:pict>
          <v:group style="width:59.7pt;height:85.7pt;mso-position-horizontal-relative:char;mso-position-vertical-relative:line" coordorigin="0,0" coordsize="1194,1714">
            <v:rect style="position:absolute;left:0;top:65;width:1194;height:1649" filled="true" fillcolor="#231f20" stroked="false">
              <v:fill type="solid"/>
            </v:rect>
            <v:shape style="position:absolute;left:0;top:0;width:1194;height:1714" type="#_x0000_t202" filled="false" stroked="false">
              <v:textbox inset="0,0,0,0">
                <w:txbxContent>
                  <w:p>
                    <w:pPr>
                      <w:spacing w:line="1048" w:lineRule="exact" w:before="0"/>
                      <w:ind w:left="33" w:right="0" w:firstLine="0"/>
                      <w:jc w:val="left"/>
                      <w:rPr>
                        <w:sz w:val="97"/>
                      </w:rPr>
                    </w:pPr>
                    <w:r>
                      <w:rPr>
                        <w:color w:val="FFFFFF"/>
                        <w:w w:val="60"/>
                        <w:sz w:val="97"/>
                      </w:rPr>
                      <w:t>pwd</w:t>
                    </w:r>
                  </w:p>
                </w:txbxContent>
              </v:textbox>
              <w10:wrap type="none"/>
            </v:shape>
          </v:group>
        </w:pict>
      </w:r>
      <w:r>
        <w:rPr>
          <w:rFonts w:ascii="Times New Roman"/>
          <w:sz w:val="20"/>
        </w:rPr>
      </w:r>
    </w:p>
    <w:p>
      <w:pPr>
        <w:spacing w:line="302" w:lineRule="exact" w:before="0"/>
        <w:ind w:left="524" w:right="82" w:firstLine="0"/>
        <w:jc w:val="center"/>
        <w:rPr>
          <w:rFonts w:ascii="Lucida Sans" w:hAnsi="Lucida Sans" w:cs="Lucida Sans" w:eastAsia="Lucida Sans"/>
          <w:sz w:val="31"/>
          <w:szCs w:val="31"/>
        </w:rPr>
      </w:pPr>
      <w:r>
        <w:rPr/>
        <w:pict>
          <v:shape style="position:absolute;margin-left:282.564972pt;margin-top:-51.415314pt;width:52.35pt;height:55.25pt;mso-position-horizontal-relative:page;mso-position-vertical-relative:paragraph;z-index:-63160;rotation:356" type="#_x0000_t136" fillcolor="#ffffff" stroked="f">
            <o:extrusion v:ext="view" autorotationcenter="t"/>
            <v:textpath style="font-family:&amp;quot;Arial&amp;quot;;font-size:55pt;v-text-kern:t;mso-text-shadow:auto" string="wA"/>
            <w10:wrap type="none"/>
          </v:shape>
        </w:pict>
      </w:r>
      <w:r>
        <w:rPr>
          <w:rFonts w:ascii="Lucida Sans" w:hAnsi="Lucida Sans" w:cs="Lucida Sans" w:eastAsia="Lucida Sans"/>
          <w:color w:val="231F20"/>
          <w:w w:val="45"/>
          <w:sz w:val="31"/>
          <w:szCs w:val="31"/>
        </w:rPr>
        <w:t>������   ����</w:t>
      </w:r>
    </w:p>
    <w:p>
      <w:pPr>
        <w:spacing w:line="318" w:lineRule="exact" w:before="0"/>
        <w:ind w:left="524" w:right="88" w:firstLine="0"/>
        <w:jc w:val="center"/>
        <w:rPr>
          <w:rFonts w:ascii="Lucida Sans" w:hAnsi="Lucida Sans" w:cs="Lucida Sans" w:eastAsia="Lucida Sans"/>
          <w:sz w:val="36"/>
          <w:szCs w:val="36"/>
        </w:rPr>
      </w:pPr>
      <w:r>
        <w:rPr>
          <w:rFonts w:ascii="Lucida Sans" w:hAnsi="Lucida Sans" w:cs="Lucida Sans" w:eastAsia="Lucida Sans"/>
          <w:color w:val="231F20"/>
          <w:w w:val="45"/>
          <w:sz w:val="36"/>
          <w:szCs w:val="36"/>
        </w:rPr>
        <w:t>������������</w:t>
      </w:r>
    </w:p>
    <w:p>
      <w:pPr>
        <w:spacing w:line="403" w:lineRule="exact" w:before="0"/>
        <w:ind w:left="524" w:right="78" w:firstLine="0"/>
        <w:jc w:val="center"/>
        <w:rPr>
          <w:rFonts w:ascii="Lucida Sans" w:hAnsi="Lucida Sans" w:cs="Lucida Sans" w:eastAsia="Lucida Sans"/>
          <w:sz w:val="47"/>
          <w:szCs w:val="47"/>
        </w:rPr>
      </w:pPr>
      <w:r>
        <w:rPr>
          <w:rFonts w:ascii="Lucida Sans" w:hAnsi="Lucida Sans" w:cs="Lucida Sans" w:eastAsia="Lucida Sans"/>
          <w:color w:val="231F20"/>
          <w:w w:val="60"/>
          <w:sz w:val="47"/>
          <w:szCs w:val="47"/>
        </w:rPr>
        <w:t>�������</w:t>
      </w:r>
    </w:p>
    <w:p>
      <w:pPr>
        <w:spacing w:line="448" w:lineRule="exact" w:before="0"/>
        <w:ind w:left="524" w:right="92" w:firstLine="0"/>
        <w:jc w:val="center"/>
        <w:rPr>
          <w:rFonts w:ascii="Lucida Sans" w:hAnsi="Lucida Sans" w:cs="Lucida Sans" w:eastAsia="Lucida Sans"/>
          <w:sz w:val="45"/>
          <w:szCs w:val="45"/>
        </w:rPr>
      </w:pPr>
      <w:r>
        <w:rPr>
          <w:rFonts w:ascii="Lucida Sans" w:hAnsi="Lucida Sans" w:cs="Lucida Sans" w:eastAsia="Lucida Sans"/>
          <w:color w:val="231F20"/>
          <w:w w:val="50"/>
          <w:sz w:val="45"/>
          <w:szCs w:val="45"/>
        </w:rPr>
        <w:t>���������</w:t>
      </w:r>
    </w:p>
    <w:p>
      <w:pPr>
        <w:spacing w:before="279"/>
        <w:ind w:left="197" w:right="174" w:firstLine="0"/>
        <w:jc w:val="center"/>
        <w:rPr>
          <w:sz w:val="34"/>
        </w:rPr>
      </w:pPr>
      <w:r>
        <w:rPr>
          <w:color w:val="231F20"/>
          <w:spacing w:val="11"/>
          <w:w w:val="95"/>
          <w:sz w:val="34"/>
        </w:rPr>
        <w:t>People With </w:t>
      </w:r>
      <w:r>
        <w:rPr>
          <w:color w:val="231F20"/>
          <w:spacing w:val="13"/>
          <w:w w:val="95"/>
          <w:sz w:val="34"/>
        </w:rPr>
        <w:t>disabilities </w:t>
      </w:r>
      <w:r>
        <w:rPr>
          <w:color w:val="231F20"/>
          <w:spacing w:val="10"/>
          <w:w w:val="95"/>
          <w:sz w:val="34"/>
        </w:rPr>
        <w:t>(WA)</w:t>
      </w:r>
      <w:r>
        <w:rPr>
          <w:color w:val="231F20"/>
          <w:spacing w:val="-61"/>
          <w:w w:val="95"/>
          <w:sz w:val="34"/>
        </w:rPr>
        <w:t> </w:t>
      </w:r>
      <w:r>
        <w:rPr>
          <w:color w:val="231F20"/>
          <w:spacing w:val="15"/>
          <w:w w:val="95"/>
          <w:sz w:val="34"/>
        </w:rPr>
        <w:t>Inc.</w:t>
      </w:r>
    </w:p>
    <w:p>
      <w:pPr>
        <w:pStyle w:val="BodyText"/>
        <w:rPr>
          <w:sz w:val="51"/>
        </w:rPr>
      </w:pPr>
    </w:p>
    <w:p>
      <w:pPr>
        <w:pStyle w:val="Heading3"/>
        <w:spacing w:line="264" w:lineRule="auto"/>
        <w:ind w:left="2687" w:right="2691"/>
      </w:pPr>
      <w:r>
        <w:rPr>
          <w:color w:val="231F20"/>
          <w:w w:val="85"/>
        </w:rPr>
        <w:t>Email: </w:t>
      </w:r>
      <w:hyperlink r:id="rId47">
        <w:r>
          <w:rPr>
            <w:color w:val="231F20"/>
            <w:w w:val="85"/>
          </w:rPr>
          <w:t>info@pwdwa.org</w:t>
        </w:r>
      </w:hyperlink>
      <w:r>
        <w:rPr>
          <w:color w:val="231F20"/>
          <w:w w:val="85"/>
        </w:rPr>
        <w:t> Website: </w:t>
      </w:r>
      <w:hyperlink r:id="rId32">
        <w:r>
          <w:rPr>
            <w:color w:val="231F20"/>
            <w:w w:val="85"/>
          </w:rPr>
          <w:t>www.pwdwa.org</w:t>
        </w:r>
      </w:hyperlink>
    </w:p>
    <w:p>
      <w:pPr>
        <w:tabs>
          <w:tab w:pos="3624" w:val="left" w:leader="none"/>
        </w:tabs>
        <w:spacing w:line="460" w:lineRule="atLeast" w:before="186"/>
        <w:ind w:left="186" w:right="174" w:firstLine="0"/>
        <w:jc w:val="center"/>
        <w:rPr>
          <w:b/>
          <w:sz w:val="30"/>
        </w:rPr>
      </w:pPr>
      <w:r>
        <w:rPr>
          <w:b/>
          <w:color w:val="231F20"/>
          <w:spacing w:val="11"/>
          <w:w w:val="85"/>
          <w:sz w:val="30"/>
        </w:rPr>
        <w:t>Oasis </w:t>
      </w:r>
      <w:r>
        <w:rPr>
          <w:b/>
          <w:color w:val="231F20"/>
          <w:spacing w:val="12"/>
          <w:w w:val="85"/>
          <w:sz w:val="30"/>
        </w:rPr>
        <w:t>Lotteries </w:t>
      </w:r>
      <w:r>
        <w:rPr>
          <w:b/>
          <w:color w:val="231F20"/>
          <w:spacing w:val="11"/>
          <w:w w:val="85"/>
          <w:sz w:val="30"/>
        </w:rPr>
        <w:t>House </w:t>
      </w:r>
      <w:r>
        <w:rPr>
          <w:b/>
          <w:color w:val="231F20"/>
          <w:spacing w:val="10"/>
          <w:w w:val="85"/>
          <w:sz w:val="30"/>
        </w:rPr>
        <w:t>1/37 </w:t>
      </w:r>
      <w:r>
        <w:rPr>
          <w:b/>
          <w:color w:val="231F20"/>
          <w:spacing w:val="11"/>
          <w:w w:val="85"/>
          <w:sz w:val="30"/>
        </w:rPr>
        <w:t>Hampden </w:t>
      </w:r>
      <w:r>
        <w:rPr>
          <w:b/>
          <w:color w:val="231F20"/>
          <w:spacing w:val="10"/>
          <w:w w:val="85"/>
          <w:sz w:val="30"/>
        </w:rPr>
        <w:t>Road </w:t>
      </w:r>
      <w:r>
        <w:rPr>
          <w:b/>
          <w:color w:val="231F20"/>
          <w:spacing w:val="12"/>
          <w:w w:val="85"/>
          <w:sz w:val="30"/>
        </w:rPr>
        <w:t>Nedlands </w:t>
      </w:r>
      <w:r>
        <w:rPr>
          <w:b/>
          <w:color w:val="231F20"/>
          <w:spacing w:val="3"/>
          <w:w w:val="85"/>
          <w:sz w:val="30"/>
        </w:rPr>
        <w:t>WA</w:t>
      </w:r>
      <w:r>
        <w:rPr>
          <w:b/>
          <w:color w:val="231F20"/>
          <w:spacing w:val="-41"/>
          <w:w w:val="85"/>
          <w:sz w:val="30"/>
        </w:rPr>
        <w:t> </w:t>
      </w:r>
      <w:r>
        <w:rPr>
          <w:b/>
          <w:color w:val="231F20"/>
          <w:spacing w:val="15"/>
          <w:w w:val="85"/>
          <w:sz w:val="30"/>
        </w:rPr>
        <w:t>6009 </w:t>
      </w:r>
      <w:r>
        <w:rPr>
          <w:b/>
          <w:color w:val="231F20"/>
          <w:spacing w:val="10"/>
          <w:w w:val="95"/>
          <w:sz w:val="30"/>
        </w:rPr>
        <w:t>Ph:</w:t>
      </w:r>
      <w:r>
        <w:rPr>
          <w:b/>
          <w:color w:val="231F20"/>
          <w:spacing w:val="-28"/>
          <w:w w:val="95"/>
          <w:sz w:val="30"/>
        </w:rPr>
        <w:t> </w:t>
      </w:r>
      <w:r>
        <w:rPr>
          <w:b/>
          <w:color w:val="231F20"/>
          <w:spacing w:val="10"/>
          <w:w w:val="95"/>
          <w:sz w:val="30"/>
        </w:rPr>
        <w:t>(08)</w:t>
      </w:r>
      <w:r>
        <w:rPr>
          <w:b/>
          <w:color w:val="231F20"/>
          <w:spacing w:val="-28"/>
          <w:w w:val="95"/>
          <w:sz w:val="30"/>
        </w:rPr>
        <w:t> </w:t>
      </w:r>
      <w:r>
        <w:rPr>
          <w:b/>
          <w:color w:val="231F20"/>
          <w:spacing w:val="10"/>
          <w:w w:val="95"/>
          <w:sz w:val="30"/>
        </w:rPr>
        <w:t>9485</w:t>
      </w:r>
      <w:r>
        <w:rPr>
          <w:b/>
          <w:color w:val="231F20"/>
          <w:spacing w:val="-28"/>
          <w:w w:val="95"/>
          <w:sz w:val="30"/>
        </w:rPr>
        <w:t> </w:t>
      </w:r>
      <w:r>
        <w:rPr>
          <w:b/>
          <w:color w:val="231F20"/>
          <w:spacing w:val="10"/>
          <w:w w:val="95"/>
          <w:sz w:val="30"/>
        </w:rPr>
        <w:t>8900</w:t>
        <w:tab/>
      </w:r>
      <w:r>
        <w:rPr>
          <w:b/>
          <w:color w:val="231F20"/>
          <w:spacing w:val="8"/>
          <w:w w:val="95"/>
          <w:sz w:val="30"/>
        </w:rPr>
        <w:t>Fax: </w:t>
      </w:r>
      <w:r>
        <w:rPr>
          <w:b/>
          <w:color w:val="231F20"/>
          <w:spacing w:val="10"/>
          <w:w w:val="95"/>
          <w:sz w:val="30"/>
        </w:rPr>
        <w:t>(08) 9386</w:t>
      </w:r>
      <w:r>
        <w:rPr>
          <w:b/>
          <w:color w:val="231F20"/>
          <w:spacing w:val="-8"/>
          <w:w w:val="95"/>
          <w:sz w:val="30"/>
        </w:rPr>
        <w:t> </w:t>
      </w:r>
      <w:r>
        <w:rPr>
          <w:b/>
          <w:color w:val="231F20"/>
          <w:spacing w:val="15"/>
          <w:w w:val="95"/>
          <w:sz w:val="30"/>
        </w:rPr>
        <w:t>1011</w:t>
      </w:r>
    </w:p>
    <w:p>
      <w:pPr>
        <w:tabs>
          <w:tab w:pos="3419" w:val="left" w:leader="none"/>
        </w:tabs>
        <w:spacing w:before="35"/>
        <w:ind w:left="9" w:right="0" w:firstLine="0"/>
        <w:jc w:val="center"/>
        <w:rPr>
          <w:b/>
          <w:sz w:val="30"/>
        </w:rPr>
      </w:pPr>
      <w:r>
        <w:rPr>
          <w:b/>
          <w:color w:val="231F20"/>
          <w:spacing w:val="12"/>
          <w:w w:val="90"/>
          <w:sz w:val="30"/>
        </w:rPr>
        <w:t>Country: </w:t>
      </w:r>
      <w:r>
        <w:rPr>
          <w:b/>
          <w:color w:val="231F20"/>
          <w:spacing w:val="10"/>
          <w:w w:val="90"/>
          <w:sz w:val="30"/>
        </w:rPr>
        <w:t>1800</w:t>
      </w:r>
      <w:r>
        <w:rPr>
          <w:b/>
          <w:color w:val="231F20"/>
          <w:spacing w:val="-38"/>
          <w:w w:val="90"/>
          <w:sz w:val="30"/>
        </w:rPr>
        <w:t> </w:t>
      </w:r>
      <w:r>
        <w:rPr>
          <w:b/>
          <w:color w:val="231F20"/>
          <w:spacing w:val="10"/>
          <w:w w:val="90"/>
          <w:sz w:val="30"/>
        </w:rPr>
        <w:t>193</w:t>
      </w:r>
      <w:r>
        <w:rPr>
          <w:b/>
          <w:color w:val="231F20"/>
          <w:spacing w:val="-13"/>
          <w:w w:val="90"/>
          <w:sz w:val="30"/>
        </w:rPr>
        <w:t> </w:t>
      </w:r>
      <w:r>
        <w:rPr>
          <w:b/>
          <w:color w:val="231F20"/>
          <w:spacing w:val="10"/>
          <w:w w:val="90"/>
          <w:sz w:val="30"/>
        </w:rPr>
        <w:t>331</w:t>
        <w:tab/>
      </w:r>
      <w:r>
        <w:rPr>
          <w:b/>
          <w:color w:val="231F20"/>
          <w:spacing w:val="7"/>
          <w:w w:val="90"/>
          <w:sz w:val="30"/>
        </w:rPr>
        <w:t>TTY:</w:t>
      </w:r>
      <w:r>
        <w:rPr>
          <w:b/>
          <w:color w:val="231F20"/>
          <w:spacing w:val="-22"/>
          <w:w w:val="90"/>
          <w:sz w:val="30"/>
        </w:rPr>
        <w:t> </w:t>
      </w:r>
      <w:r>
        <w:rPr>
          <w:b/>
          <w:color w:val="231F20"/>
          <w:spacing w:val="10"/>
          <w:w w:val="90"/>
          <w:sz w:val="30"/>
        </w:rPr>
        <w:t>(08)</w:t>
      </w:r>
      <w:r>
        <w:rPr>
          <w:b/>
          <w:color w:val="231F20"/>
          <w:spacing w:val="-22"/>
          <w:w w:val="90"/>
          <w:sz w:val="30"/>
        </w:rPr>
        <w:t> </w:t>
      </w:r>
      <w:r>
        <w:rPr>
          <w:b/>
          <w:color w:val="231F20"/>
          <w:spacing w:val="10"/>
          <w:w w:val="90"/>
          <w:sz w:val="30"/>
        </w:rPr>
        <w:t>9386</w:t>
      </w:r>
      <w:r>
        <w:rPr>
          <w:b/>
          <w:color w:val="231F20"/>
          <w:spacing w:val="-22"/>
          <w:w w:val="90"/>
          <w:sz w:val="30"/>
        </w:rPr>
        <w:t> </w:t>
      </w:r>
      <w:r>
        <w:rPr>
          <w:b/>
          <w:color w:val="231F20"/>
          <w:spacing w:val="15"/>
          <w:w w:val="90"/>
          <w:sz w:val="30"/>
        </w:rPr>
        <w:t>6451</w:t>
      </w:r>
    </w:p>
    <w:sectPr>
      <w:footerReference w:type="default" r:id="rId46"/>
      <w:pgSz w:w="11910" w:h="16840"/>
      <w:pgMar w:footer="0" w:head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Symbol">
    <w:altName w:val="Symbol"/>
    <w:charset w:val="2"/>
    <w:family w:val="roman"/>
    <w:pitch w:val="variable"/>
  </w:font>
  <w:font w:name="Lucida Sans">
    <w:altName w:val="Lucida Sans"/>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117310pt;margin-top:763.943665pt;width:9.6pt;height:12.25pt;mso-position-horizontal-relative:page;mso-position-vertical-relative:page;z-index:-64120" type="#_x0000_t202" filled="false" stroked="false">
          <v:textbox inset="0,0,0,0">
            <w:txbxContent>
              <w:p>
                <w:pPr>
                  <w:spacing w:line="211" w:lineRule="exact" w:before="33"/>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598206pt;margin-top:765.623657pt;width:12.05pt;height:12pt;mso-position-horizontal-relative:page;mso-position-vertical-relative:page;z-index:-63904" type="#_x0000_t202" filled="false" stroked="false">
          <v:textbox inset="0,0,0,0">
            <w:txbxContent>
              <w:p>
                <w:pPr>
                  <w:spacing w:line="211" w:lineRule="exact" w:before="28"/>
                  <w:ind w:left="20" w:right="0" w:firstLine="0"/>
                  <w:jc w:val="left"/>
                  <w:rPr>
                    <w:rFonts w:ascii="Times New Roman"/>
                    <w:sz w:val="20"/>
                  </w:rPr>
                </w:pPr>
                <w:r>
                  <w:rPr>
                    <w:rFonts w:ascii="Times New Roman"/>
                    <w:sz w:val="20"/>
                  </w:rPr>
                  <w:t>17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757782pt;margin-top:775.343628pt;width:12.05pt;height:12pt;mso-position-horizontal-relative:page;mso-position-vertical-relative:page;z-index:-63880" type="#_x0000_t202" filled="false" stroked="false">
          <v:textbox inset="0,0,0,0">
            <w:txbxContent>
              <w:p>
                <w:pPr>
                  <w:spacing w:line="211" w:lineRule="exact" w:before="28"/>
                  <w:ind w:left="20" w:right="0" w:firstLine="0"/>
                  <w:jc w:val="left"/>
                  <w:rPr>
                    <w:rFonts w:ascii="Times New Roman"/>
                    <w:sz w:val="20"/>
                  </w:rPr>
                </w:pPr>
                <w:r>
                  <w:rPr>
                    <w:rFonts w:ascii="Times New Roman"/>
                    <w:sz w:val="20"/>
                  </w:rPr>
                  <w:t>18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719299pt;margin-top:768.947998pt;width:17.650pt;height:15.15pt;mso-position-horizontal-relative:page;mso-position-vertical-relative:page;z-index:-63856" type="#_x0000_t202" filled="false" stroked="false">
          <v:textbox inset="0,0,0,0">
            <w:txbxContent>
              <w:p>
                <w:pPr>
                  <w:spacing w:before="41"/>
                  <w:ind w:left="116" w:right="0" w:firstLine="0"/>
                  <w:jc w:val="left"/>
                  <w:rPr>
                    <w:rFonts w:ascii="Times New Roman"/>
                    <w:sz w:val="19"/>
                  </w:rPr>
                </w:pPr>
                <w:r>
                  <w:rPr/>
                  <w:fldChar w:fldCharType="begin"/>
                </w:r>
                <w:r>
                  <w:rPr>
                    <w:rFonts w:ascii="Times New Roman"/>
                    <w:color w:val="262626"/>
                    <w:w w:val="105"/>
                    <w:sz w:val="19"/>
                  </w:rPr>
                  <w:instrText> PAGE </w:instrText>
                </w:r>
                <w:r>
                  <w:rPr/>
                  <w:fldChar w:fldCharType="separate"/>
                </w:r>
                <w:r>
                  <w:rPr/>
                  <w:t>25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118408pt;margin-top:772.463623pt;width:7pt;height:12pt;mso-position-horizontal-relative:page;mso-position-vertical-relative:page;z-index:-64096" type="#_x0000_t202" filled="false" stroked="false">
          <v:textbox inset="0,0,0,0">
            <w:txbxContent>
              <w:p>
                <w:pPr>
                  <w:spacing w:line="211" w:lineRule="exact" w:before="28"/>
                  <w:ind w:left="20" w:right="0" w:firstLine="0"/>
                  <w:jc w:val="left"/>
                  <w:rPr>
                    <w:rFonts w:ascii="Times New Roman"/>
                    <w:sz w:val="20"/>
                  </w:rPr>
                </w:pPr>
                <w:r>
                  <w:rPr>
                    <w:rFonts w:ascii="Times New Roman"/>
                    <w:w w:val="99"/>
                    <w:sz w:val="20"/>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487793pt;margin-top:772.95575pt;width:7.05pt;height:13.1pt;mso-position-horizontal-relative:page;mso-position-vertical-relative:page;z-index:-64072" type="#_x0000_t202" filled="false" stroked="false">
          <v:textbox inset="0,0,0,0">
            <w:txbxContent>
              <w:p>
                <w:pPr>
                  <w:spacing w:before="12"/>
                  <w:ind w:left="20" w:right="0" w:firstLine="0"/>
                  <w:jc w:val="left"/>
                  <w:rPr>
                    <w:rFonts w:ascii="Times New Roman"/>
                    <w:sz w:val="20"/>
                  </w:rPr>
                </w:pPr>
                <w:r>
                  <w:rPr>
                    <w:rFonts w:ascii="Times New Roman"/>
                    <w:w w:val="100"/>
                    <w:sz w:val="20"/>
                  </w:rPr>
                  <w:t>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117035pt;margin-top:764.18396pt;width:9pt;height:14.25pt;mso-position-horizontal-relative:page;mso-position-vertical-relative:page;z-index:-64048" type="#_x0000_t202" filled="false" stroked="false">
          <v:textbox inset="0,0,0,0">
            <w:txbxContent>
              <w:p>
                <w:pPr>
                  <w:spacing w:line="211" w:lineRule="exact" w:before="74"/>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92.99762pt;margin-top:770.30365pt;width:10.2pt;height:17.850pt;mso-position-horizontal-relative:page;mso-position-vertical-relative:page;z-index:-64024" type="#_x0000_t202" filled="false" stroked="false">
          <v:textbox inset="0,0,0,0">
            <w:txbxContent>
              <w:p>
                <w:pPr>
                  <w:spacing w:line="211" w:lineRule="exact" w:before="146"/>
                  <w:ind w:left="64" w:right="0" w:firstLine="0"/>
                  <w:jc w:val="left"/>
                  <w:rPr>
                    <w:rFonts w:ascii="Times New Roman"/>
                    <w:sz w:val="20"/>
                  </w:rPr>
                </w:pPr>
                <w:r>
                  <w:rPr/>
                  <w:fldChar w:fldCharType="begin"/>
                </w:r>
                <w:r>
                  <w:rPr>
                    <w:rFonts w:ascii="Times New Roman"/>
                    <w:w w:val="99"/>
                    <w:sz w:val="20"/>
                  </w:rPr>
                  <w:instrText> PAGE </w:instrText>
                </w:r>
                <w:r>
                  <w:rPr/>
                  <w:fldChar w:fldCharType="separate"/>
                </w:r>
                <w:r>
                  <w:rPr/>
                  <w:t>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997253pt;margin-top:770.903931pt;width:9pt;height:12pt;mso-position-horizontal-relative:page;mso-position-vertical-relative:page;z-index:-64000" type="#_x0000_t202" filled="false" stroked="false">
          <v:textbox inset="0,0,0,0">
            <w:txbxContent>
              <w:p>
                <w:pPr>
                  <w:spacing w:line="211" w:lineRule="exact" w:before="28"/>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97595pt;margin-top:771.623657pt;width:14.05pt;height:12pt;mso-position-horizontal-relative:page;mso-position-vertical-relative:page;z-index:-63976" type="#_x0000_t202" filled="false" stroked="false">
          <v:textbox inset="0,0,0,0">
            <w:txbxContent>
              <w:p>
                <w:pPr>
                  <w:spacing w:line="211" w:lineRule="exact" w:before="28"/>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289.518250pt;margin-top:764.183838pt;width:15.1pt;height:17.25pt;mso-position-horizontal-relative:page;mso-position-vertical-relative:page;z-index:-63952" type="#_x0000_t202" filled="false" stroked="false">
          <v:textbox inset="0,0,0,0">
            <w:txbxContent>
              <w:p>
                <w:pPr>
                  <w:spacing w:line="211" w:lineRule="exact" w:before="134"/>
                  <w:ind w:left="59" w:right="0" w:firstLine="0"/>
                  <w:jc w:val="left"/>
                  <w:rPr>
                    <w:rFonts w:ascii="Times New Roman"/>
                    <w:sz w:val="20"/>
                  </w:rPr>
                </w:pPr>
                <w:r>
                  <w:rPr/>
                  <w:fldChar w:fldCharType="begin"/>
                </w:r>
                <w:r>
                  <w:rPr>
                    <w:rFonts w:ascii="Times New Roman"/>
                    <w:sz w:val="20"/>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98206pt;margin-top:775.823669pt;width:14.65pt;height:12.2pt;mso-position-horizontal-relative:page;mso-position-vertical-relative:page;z-index:-63928" type="#_x0000_t202" filled="false" stroked="false">
          <v:textbox inset="0,0,0,0">
            <w:txbxContent>
              <w:p>
                <w:pPr>
                  <w:spacing w:line="211" w:lineRule="exact" w:before="33"/>
                  <w:ind w:left="40" w:right="0" w:firstLine="0"/>
                  <w:jc w:val="left"/>
                  <w:rPr>
                    <w:rFonts w:ascii="Times New Roman"/>
                    <w:sz w:val="20"/>
                  </w:rPr>
                </w:pPr>
                <w:r>
                  <w:rPr/>
                  <w:fldChar w:fldCharType="begin"/>
                </w:r>
                <w:r>
                  <w:rPr>
                    <w:rFonts w:ascii="Times New Roman"/>
                    <w:sz w:val="20"/>
                  </w:rPr>
                  <w:instrText> PAGE </w:instrText>
                </w:r>
                <w:r>
                  <w:rPr/>
                  <w:fldChar w:fldCharType="separate"/>
                </w:r>
                <w:r>
                  <w:rPr/>
                  <w:t>15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3085" w:hanging="407"/>
        <w:jc w:val="left"/>
      </w:pPr>
      <w:rPr>
        <w:rFonts w:hint="default" w:ascii="Arial" w:hAnsi="Arial" w:eastAsia="Arial" w:cs="Arial"/>
        <w:color w:val="232323"/>
        <w:spacing w:val="-1"/>
        <w:w w:val="102"/>
        <w:sz w:val="18"/>
        <w:szCs w:val="18"/>
      </w:rPr>
    </w:lvl>
    <w:lvl w:ilvl="1">
      <w:start w:val="0"/>
      <w:numFmt w:val="bullet"/>
      <w:lvlText w:val="•"/>
      <w:lvlJc w:val="left"/>
      <w:pPr>
        <w:ind w:left="3876" w:hanging="407"/>
      </w:pPr>
      <w:rPr>
        <w:rFonts w:hint="default"/>
      </w:rPr>
    </w:lvl>
    <w:lvl w:ilvl="2">
      <w:start w:val="0"/>
      <w:numFmt w:val="bullet"/>
      <w:lvlText w:val="•"/>
      <w:lvlJc w:val="left"/>
      <w:pPr>
        <w:ind w:left="4673" w:hanging="407"/>
      </w:pPr>
      <w:rPr>
        <w:rFonts w:hint="default"/>
      </w:rPr>
    </w:lvl>
    <w:lvl w:ilvl="3">
      <w:start w:val="0"/>
      <w:numFmt w:val="bullet"/>
      <w:lvlText w:val="•"/>
      <w:lvlJc w:val="left"/>
      <w:pPr>
        <w:ind w:left="5469" w:hanging="407"/>
      </w:pPr>
      <w:rPr>
        <w:rFonts w:hint="default"/>
      </w:rPr>
    </w:lvl>
    <w:lvl w:ilvl="4">
      <w:start w:val="0"/>
      <w:numFmt w:val="bullet"/>
      <w:lvlText w:val="•"/>
      <w:lvlJc w:val="left"/>
      <w:pPr>
        <w:ind w:left="6266" w:hanging="407"/>
      </w:pPr>
      <w:rPr>
        <w:rFonts w:hint="default"/>
      </w:rPr>
    </w:lvl>
    <w:lvl w:ilvl="5">
      <w:start w:val="0"/>
      <w:numFmt w:val="bullet"/>
      <w:lvlText w:val="•"/>
      <w:lvlJc w:val="left"/>
      <w:pPr>
        <w:ind w:left="7062" w:hanging="407"/>
      </w:pPr>
      <w:rPr>
        <w:rFonts w:hint="default"/>
      </w:rPr>
    </w:lvl>
    <w:lvl w:ilvl="6">
      <w:start w:val="0"/>
      <w:numFmt w:val="bullet"/>
      <w:lvlText w:val="•"/>
      <w:lvlJc w:val="left"/>
      <w:pPr>
        <w:ind w:left="7859" w:hanging="407"/>
      </w:pPr>
      <w:rPr>
        <w:rFonts w:hint="default"/>
      </w:rPr>
    </w:lvl>
    <w:lvl w:ilvl="7">
      <w:start w:val="0"/>
      <w:numFmt w:val="bullet"/>
      <w:lvlText w:val="•"/>
      <w:lvlJc w:val="left"/>
      <w:pPr>
        <w:ind w:left="8655" w:hanging="407"/>
      </w:pPr>
      <w:rPr>
        <w:rFonts w:hint="default"/>
      </w:rPr>
    </w:lvl>
    <w:lvl w:ilvl="8">
      <w:start w:val="0"/>
      <w:numFmt w:val="bullet"/>
      <w:lvlText w:val="•"/>
      <w:lvlJc w:val="left"/>
      <w:pPr>
        <w:ind w:left="9452" w:hanging="407"/>
      </w:pPr>
      <w:rPr>
        <w:rFonts w:hint="default"/>
      </w:rPr>
    </w:lvl>
  </w:abstractNum>
  <w:abstractNum w:abstractNumId="7">
    <w:multiLevelType w:val="hybridMultilevel"/>
    <w:lvl w:ilvl="0">
      <w:start w:val="7"/>
      <w:numFmt w:val="decimal"/>
      <w:lvlText w:val="%1"/>
      <w:lvlJc w:val="left"/>
      <w:pPr>
        <w:ind w:left="1362" w:hanging="544"/>
        <w:jc w:val="left"/>
      </w:pPr>
      <w:rPr>
        <w:rFonts w:hint="default"/>
        <w:w w:val="108"/>
      </w:rPr>
    </w:lvl>
    <w:lvl w:ilvl="1">
      <w:start w:val="0"/>
      <w:numFmt w:val="bullet"/>
      <w:lvlText w:val="•"/>
      <w:lvlJc w:val="left"/>
      <w:pPr>
        <w:ind w:left="2328" w:hanging="544"/>
      </w:pPr>
      <w:rPr>
        <w:rFonts w:hint="default"/>
      </w:rPr>
    </w:lvl>
    <w:lvl w:ilvl="2">
      <w:start w:val="0"/>
      <w:numFmt w:val="bullet"/>
      <w:lvlText w:val="•"/>
      <w:lvlJc w:val="left"/>
      <w:pPr>
        <w:ind w:left="3297" w:hanging="544"/>
      </w:pPr>
      <w:rPr>
        <w:rFonts w:hint="default"/>
      </w:rPr>
    </w:lvl>
    <w:lvl w:ilvl="3">
      <w:start w:val="0"/>
      <w:numFmt w:val="bullet"/>
      <w:lvlText w:val="•"/>
      <w:lvlJc w:val="left"/>
      <w:pPr>
        <w:ind w:left="4265" w:hanging="544"/>
      </w:pPr>
      <w:rPr>
        <w:rFonts w:hint="default"/>
      </w:rPr>
    </w:lvl>
    <w:lvl w:ilvl="4">
      <w:start w:val="0"/>
      <w:numFmt w:val="bullet"/>
      <w:lvlText w:val="•"/>
      <w:lvlJc w:val="left"/>
      <w:pPr>
        <w:ind w:left="5234" w:hanging="544"/>
      </w:pPr>
      <w:rPr>
        <w:rFonts w:hint="default"/>
      </w:rPr>
    </w:lvl>
    <w:lvl w:ilvl="5">
      <w:start w:val="0"/>
      <w:numFmt w:val="bullet"/>
      <w:lvlText w:val="•"/>
      <w:lvlJc w:val="left"/>
      <w:pPr>
        <w:ind w:left="6202" w:hanging="544"/>
      </w:pPr>
      <w:rPr>
        <w:rFonts w:hint="default"/>
      </w:rPr>
    </w:lvl>
    <w:lvl w:ilvl="6">
      <w:start w:val="0"/>
      <w:numFmt w:val="bullet"/>
      <w:lvlText w:val="•"/>
      <w:lvlJc w:val="left"/>
      <w:pPr>
        <w:ind w:left="7171" w:hanging="544"/>
      </w:pPr>
      <w:rPr>
        <w:rFonts w:hint="default"/>
      </w:rPr>
    </w:lvl>
    <w:lvl w:ilvl="7">
      <w:start w:val="0"/>
      <w:numFmt w:val="bullet"/>
      <w:lvlText w:val="•"/>
      <w:lvlJc w:val="left"/>
      <w:pPr>
        <w:ind w:left="8139" w:hanging="544"/>
      </w:pPr>
      <w:rPr>
        <w:rFonts w:hint="default"/>
      </w:rPr>
    </w:lvl>
    <w:lvl w:ilvl="8">
      <w:start w:val="0"/>
      <w:numFmt w:val="bullet"/>
      <w:lvlText w:val="•"/>
      <w:lvlJc w:val="left"/>
      <w:pPr>
        <w:ind w:left="9108" w:hanging="544"/>
      </w:pPr>
      <w:rPr>
        <w:rFonts w:hint="default"/>
      </w:rPr>
    </w:lvl>
  </w:abstractNum>
  <w:abstractNum w:abstractNumId="6">
    <w:multiLevelType w:val="hybridMultilevel"/>
    <w:lvl w:ilvl="0">
      <w:start w:val="1"/>
      <w:numFmt w:val="lowerLetter"/>
      <w:lvlText w:val="(%1)"/>
      <w:lvlJc w:val="left"/>
      <w:pPr>
        <w:ind w:left="2547" w:hanging="286"/>
        <w:jc w:val="left"/>
      </w:pPr>
      <w:rPr>
        <w:rFonts w:hint="default"/>
        <w:spacing w:val="-1"/>
        <w:w w:val="100"/>
      </w:rPr>
    </w:lvl>
    <w:lvl w:ilvl="1">
      <w:start w:val="0"/>
      <w:numFmt w:val="bullet"/>
      <w:lvlText w:val="•"/>
      <w:lvlJc w:val="left"/>
      <w:pPr>
        <w:ind w:left="3390" w:hanging="286"/>
      </w:pPr>
      <w:rPr>
        <w:rFonts w:hint="default"/>
      </w:rPr>
    </w:lvl>
    <w:lvl w:ilvl="2">
      <w:start w:val="0"/>
      <w:numFmt w:val="bullet"/>
      <w:lvlText w:val="•"/>
      <w:lvlJc w:val="left"/>
      <w:pPr>
        <w:ind w:left="4241" w:hanging="286"/>
      </w:pPr>
      <w:rPr>
        <w:rFonts w:hint="default"/>
      </w:rPr>
    </w:lvl>
    <w:lvl w:ilvl="3">
      <w:start w:val="0"/>
      <w:numFmt w:val="bullet"/>
      <w:lvlText w:val="•"/>
      <w:lvlJc w:val="left"/>
      <w:pPr>
        <w:ind w:left="5091" w:hanging="286"/>
      </w:pPr>
      <w:rPr>
        <w:rFonts w:hint="default"/>
      </w:rPr>
    </w:lvl>
    <w:lvl w:ilvl="4">
      <w:start w:val="0"/>
      <w:numFmt w:val="bullet"/>
      <w:lvlText w:val="•"/>
      <w:lvlJc w:val="left"/>
      <w:pPr>
        <w:ind w:left="5942" w:hanging="286"/>
      </w:pPr>
      <w:rPr>
        <w:rFonts w:hint="default"/>
      </w:rPr>
    </w:lvl>
    <w:lvl w:ilvl="5">
      <w:start w:val="0"/>
      <w:numFmt w:val="bullet"/>
      <w:lvlText w:val="•"/>
      <w:lvlJc w:val="left"/>
      <w:pPr>
        <w:ind w:left="6792" w:hanging="286"/>
      </w:pPr>
      <w:rPr>
        <w:rFonts w:hint="default"/>
      </w:rPr>
    </w:lvl>
    <w:lvl w:ilvl="6">
      <w:start w:val="0"/>
      <w:numFmt w:val="bullet"/>
      <w:lvlText w:val="•"/>
      <w:lvlJc w:val="left"/>
      <w:pPr>
        <w:ind w:left="7643" w:hanging="286"/>
      </w:pPr>
      <w:rPr>
        <w:rFonts w:hint="default"/>
      </w:rPr>
    </w:lvl>
    <w:lvl w:ilvl="7">
      <w:start w:val="0"/>
      <w:numFmt w:val="bullet"/>
      <w:lvlText w:val="•"/>
      <w:lvlJc w:val="left"/>
      <w:pPr>
        <w:ind w:left="8493" w:hanging="286"/>
      </w:pPr>
      <w:rPr>
        <w:rFonts w:hint="default"/>
      </w:rPr>
    </w:lvl>
    <w:lvl w:ilvl="8">
      <w:start w:val="0"/>
      <w:numFmt w:val="bullet"/>
      <w:lvlText w:val="•"/>
      <w:lvlJc w:val="left"/>
      <w:pPr>
        <w:ind w:left="9344" w:hanging="286"/>
      </w:pPr>
      <w:rPr>
        <w:rFonts w:hint="default"/>
      </w:rPr>
    </w:lvl>
  </w:abstractNum>
  <w:abstractNum w:abstractNumId="5">
    <w:multiLevelType w:val="hybridMultilevel"/>
    <w:lvl w:ilvl="0">
      <w:start w:val="2"/>
      <w:numFmt w:val="lowerLetter"/>
      <w:lvlText w:val="%1)"/>
      <w:lvlJc w:val="left"/>
      <w:pPr>
        <w:ind w:left="1828" w:hanging="509"/>
        <w:jc w:val="left"/>
      </w:pPr>
      <w:rPr>
        <w:rFonts w:hint="default"/>
        <w:b/>
        <w:bCs/>
        <w:spacing w:val="-1"/>
        <w:w w:val="105"/>
      </w:rPr>
    </w:lvl>
    <w:lvl w:ilvl="1">
      <w:start w:val="0"/>
      <w:numFmt w:val="bullet"/>
      <w:lvlText w:val="•"/>
      <w:lvlJc w:val="left"/>
      <w:pPr>
        <w:ind w:left="5040" w:hanging="509"/>
      </w:pPr>
      <w:rPr>
        <w:rFonts w:hint="default"/>
      </w:rPr>
    </w:lvl>
    <w:lvl w:ilvl="2">
      <w:start w:val="0"/>
      <w:numFmt w:val="bullet"/>
      <w:lvlText w:val="•"/>
      <w:lvlJc w:val="left"/>
      <w:pPr>
        <w:ind w:left="5084" w:hanging="509"/>
      </w:pPr>
      <w:rPr>
        <w:rFonts w:hint="default"/>
      </w:rPr>
    </w:lvl>
    <w:lvl w:ilvl="3">
      <w:start w:val="0"/>
      <w:numFmt w:val="bullet"/>
      <w:lvlText w:val="•"/>
      <w:lvlJc w:val="left"/>
      <w:pPr>
        <w:ind w:left="5129" w:hanging="509"/>
      </w:pPr>
      <w:rPr>
        <w:rFonts w:hint="default"/>
      </w:rPr>
    </w:lvl>
    <w:lvl w:ilvl="4">
      <w:start w:val="0"/>
      <w:numFmt w:val="bullet"/>
      <w:lvlText w:val="•"/>
      <w:lvlJc w:val="left"/>
      <w:pPr>
        <w:ind w:left="5174" w:hanging="509"/>
      </w:pPr>
      <w:rPr>
        <w:rFonts w:hint="default"/>
      </w:rPr>
    </w:lvl>
    <w:lvl w:ilvl="5">
      <w:start w:val="0"/>
      <w:numFmt w:val="bullet"/>
      <w:lvlText w:val="•"/>
      <w:lvlJc w:val="left"/>
      <w:pPr>
        <w:ind w:left="5218" w:hanging="509"/>
      </w:pPr>
      <w:rPr>
        <w:rFonts w:hint="default"/>
      </w:rPr>
    </w:lvl>
    <w:lvl w:ilvl="6">
      <w:start w:val="0"/>
      <w:numFmt w:val="bullet"/>
      <w:lvlText w:val="•"/>
      <w:lvlJc w:val="left"/>
      <w:pPr>
        <w:ind w:left="5263" w:hanging="509"/>
      </w:pPr>
      <w:rPr>
        <w:rFonts w:hint="default"/>
      </w:rPr>
    </w:lvl>
    <w:lvl w:ilvl="7">
      <w:start w:val="0"/>
      <w:numFmt w:val="bullet"/>
      <w:lvlText w:val="•"/>
      <w:lvlJc w:val="left"/>
      <w:pPr>
        <w:ind w:left="5308" w:hanging="509"/>
      </w:pPr>
      <w:rPr>
        <w:rFonts w:hint="default"/>
      </w:rPr>
    </w:lvl>
    <w:lvl w:ilvl="8">
      <w:start w:val="0"/>
      <w:numFmt w:val="bullet"/>
      <w:lvlText w:val="•"/>
      <w:lvlJc w:val="left"/>
      <w:pPr>
        <w:ind w:left="5352" w:hanging="509"/>
      </w:pPr>
      <w:rPr>
        <w:rFonts w:hint="default"/>
      </w:rPr>
    </w:lvl>
  </w:abstractNum>
  <w:abstractNum w:abstractNumId="4">
    <w:multiLevelType w:val="hybridMultilevel"/>
    <w:lvl w:ilvl="0">
      <w:start w:val="0"/>
      <w:numFmt w:val="bullet"/>
      <w:lvlText w:val="-"/>
      <w:lvlJc w:val="left"/>
      <w:pPr>
        <w:ind w:left="1208" w:hanging="117"/>
      </w:pPr>
      <w:rPr>
        <w:rFonts w:hint="default" w:ascii="Arial" w:hAnsi="Arial" w:eastAsia="Arial" w:cs="Arial"/>
        <w:color w:val="343434"/>
        <w:w w:val="100"/>
        <w:sz w:val="19"/>
        <w:szCs w:val="19"/>
      </w:rPr>
    </w:lvl>
    <w:lvl w:ilvl="1">
      <w:start w:val="0"/>
      <w:numFmt w:val="bullet"/>
      <w:lvlText w:val="•"/>
      <w:lvlJc w:val="left"/>
      <w:pPr>
        <w:ind w:left="1532" w:hanging="117"/>
      </w:pPr>
      <w:rPr>
        <w:rFonts w:hint="default"/>
      </w:rPr>
    </w:lvl>
    <w:lvl w:ilvl="2">
      <w:start w:val="0"/>
      <w:numFmt w:val="bullet"/>
      <w:lvlText w:val="•"/>
      <w:lvlJc w:val="left"/>
      <w:pPr>
        <w:ind w:left="1865" w:hanging="117"/>
      </w:pPr>
      <w:rPr>
        <w:rFonts w:hint="default"/>
      </w:rPr>
    </w:lvl>
    <w:lvl w:ilvl="3">
      <w:start w:val="0"/>
      <w:numFmt w:val="bullet"/>
      <w:lvlText w:val="•"/>
      <w:lvlJc w:val="left"/>
      <w:pPr>
        <w:ind w:left="2197" w:hanging="117"/>
      </w:pPr>
      <w:rPr>
        <w:rFonts w:hint="default"/>
      </w:rPr>
    </w:lvl>
    <w:lvl w:ilvl="4">
      <w:start w:val="0"/>
      <w:numFmt w:val="bullet"/>
      <w:lvlText w:val="•"/>
      <w:lvlJc w:val="left"/>
      <w:pPr>
        <w:ind w:left="2530" w:hanging="117"/>
      </w:pPr>
      <w:rPr>
        <w:rFonts w:hint="default"/>
      </w:rPr>
    </w:lvl>
    <w:lvl w:ilvl="5">
      <w:start w:val="0"/>
      <w:numFmt w:val="bullet"/>
      <w:lvlText w:val="•"/>
      <w:lvlJc w:val="left"/>
      <w:pPr>
        <w:ind w:left="2862" w:hanging="117"/>
      </w:pPr>
      <w:rPr>
        <w:rFonts w:hint="default"/>
      </w:rPr>
    </w:lvl>
    <w:lvl w:ilvl="6">
      <w:start w:val="0"/>
      <w:numFmt w:val="bullet"/>
      <w:lvlText w:val="•"/>
      <w:lvlJc w:val="left"/>
      <w:pPr>
        <w:ind w:left="3195" w:hanging="117"/>
      </w:pPr>
      <w:rPr>
        <w:rFonts w:hint="default"/>
      </w:rPr>
    </w:lvl>
    <w:lvl w:ilvl="7">
      <w:start w:val="0"/>
      <w:numFmt w:val="bullet"/>
      <w:lvlText w:val="•"/>
      <w:lvlJc w:val="left"/>
      <w:pPr>
        <w:ind w:left="3527" w:hanging="117"/>
      </w:pPr>
      <w:rPr>
        <w:rFonts w:hint="default"/>
      </w:rPr>
    </w:lvl>
    <w:lvl w:ilvl="8">
      <w:start w:val="0"/>
      <w:numFmt w:val="bullet"/>
      <w:lvlText w:val="•"/>
      <w:lvlJc w:val="left"/>
      <w:pPr>
        <w:ind w:left="3860" w:hanging="117"/>
      </w:pPr>
      <w:rPr>
        <w:rFonts w:hint="default"/>
      </w:rPr>
    </w:lvl>
  </w:abstractNum>
  <w:abstractNum w:abstractNumId="2">
    <w:multiLevelType w:val="hybridMultilevel"/>
    <w:lvl w:ilvl="0">
      <w:start w:val="1"/>
      <w:numFmt w:val="decimal"/>
      <w:lvlText w:val="%1."/>
      <w:lvlJc w:val="left"/>
      <w:pPr>
        <w:ind w:left="527" w:hanging="334"/>
        <w:jc w:val="left"/>
      </w:pPr>
      <w:rPr>
        <w:rFonts w:hint="default" w:ascii="Arial" w:hAnsi="Arial" w:eastAsia="Arial" w:cs="Arial"/>
        <w:spacing w:val="0"/>
        <w:w w:val="99"/>
        <w:sz w:val="24"/>
        <w:szCs w:val="24"/>
      </w:rPr>
    </w:lvl>
    <w:lvl w:ilvl="1">
      <w:start w:val="1"/>
      <w:numFmt w:val="decimal"/>
      <w:lvlText w:val="%2"/>
      <w:lvlJc w:val="left"/>
      <w:pPr>
        <w:ind w:left="2942" w:hanging="592"/>
        <w:jc w:val="left"/>
      </w:pPr>
      <w:rPr>
        <w:rFonts w:hint="default" w:ascii="Arial" w:hAnsi="Arial" w:eastAsia="Arial" w:cs="Arial"/>
        <w:color w:val="212121"/>
        <w:w w:val="103"/>
        <w:sz w:val="18"/>
        <w:szCs w:val="18"/>
      </w:rPr>
    </w:lvl>
    <w:lvl w:ilvl="2">
      <w:start w:val="0"/>
      <w:numFmt w:val="bullet"/>
      <w:lvlText w:val="•"/>
      <w:lvlJc w:val="left"/>
      <w:pPr>
        <w:ind w:left="3682" w:hanging="592"/>
      </w:pPr>
      <w:rPr>
        <w:rFonts w:hint="default"/>
      </w:rPr>
    </w:lvl>
    <w:lvl w:ilvl="3">
      <w:start w:val="0"/>
      <w:numFmt w:val="bullet"/>
      <w:lvlText w:val="•"/>
      <w:lvlJc w:val="left"/>
      <w:pPr>
        <w:ind w:left="4425" w:hanging="592"/>
      </w:pPr>
      <w:rPr>
        <w:rFonts w:hint="default"/>
      </w:rPr>
    </w:lvl>
    <w:lvl w:ilvl="4">
      <w:start w:val="0"/>
      <w:numFmt w:val="bullet"/>
      <w:lvlText w:val="•"/>
      <w:lvlJc w:val="left"/>
      <w:pPr>
        <w:ind w:left="5168" w:hanging="592"/>
      </w:pPr>
      <w:rPr>
        <w:rFonts w:hint="default"/>
      </w:rPr>
    </w:lvl>
    <w:lvl w:ilvl="5">
      <w:start w:val="0"/>
      <w:numFmt w:val="bullet"/>
      <w:lvlText w:val="•"/>
      <w:lvlJc w:val="left"/>
      <w:pPr>
        <w:ind w:left="5911" w:hanging="592"/>
      </w:pPr>
      <w:rPr>
        <w:rFonts w:hint="default"/>
      </w:rPr>
    </w:lvl>
    <w:lvl w:ilvl="6">
      <w:start w:val="0"/>
      <w:numFmt w:val="bullet"/>
      <w:lvlText w:val="•"/>
      <w:lvlJc w:val="left"/>
      <w:pPr>
        <w:ind w:left="6654" w:hanging="592"/>
      </w:pPr>
      <w:rPr>
        <w:rFonts w:hint="default"/>
      </w:rPr>
    </w:lvl>
    <w:lvl w:ilvl="7">
      <w:start w:val="0"/>
      <w:numFmt w:val="bullet"/>
      <w:lvlText w:val="•"/>
      <w:lvlJc w:val="left"/>
      <w:pPr>
        <w:ind w:left="7397" w:hanging="592"/>
      </w:pPr>
      <w:rPr>
        <w:rFonts w:hint="default"/>
      </w:rPr>
    </w:lvl>
    <w:lvl w:ilvl="8">
      <w:start w:val="0"/>
      <w:numFmt w:val="bullet"/>
      <w:lvlText w:val="•"/>
      <w:lvlJc w:val="left"/>
      <w:pPr>
        <w:ind w:left="8139" w:hanging="592"/>
      </w:pPr>
      <w:rPr>
        <w:rFonts w:hint="default"/>
      </w:rPr>
    </w:lvl>
  </w:abstractNum>
  <w:abstractNum w:abstractNumId="1">
    <w:multiLevelType w:val="hybridMultilevel"/>
    <w:lvl w:ilvl="0">
      <w:start w:val="0"/>
      <w:numFmt w:val="bullet"/>
      <w:lvlText w:val=""/>
      <w:lvlJc w:val="left"/>
      <w:pPr>
        <w:ind w:left="530" w:hanging="361"/>
      </w:pPr>
      <w:rPr>
        <w:rFonts w:hint="default"/>
        <w:w w:val="99"/>
      </w:rPr>
    </w:lvl>
    <w:lvl w:ilvl="1">
      <w:start w:val="0"/>
      <w:numFmt w:val="bullet"/>
      <w:lvlText w:val="•"/>
      <w:lvlJc w:val="left"/>
      <w:pPr>
        <w:ind w:left="1448" w:hanging="361"/>
      </w:pPr>
      <w:rPr>
        <w:rFonts w:hint="default"/>
      </w:rPr>
    </w:lvl>
    <w:lvl w:ilvl="2">
      <w:start w:val="0"/>
      <w:numFmt w:val="bullet"/>
      <w:lvlText w:val="•"/>
      <w:lvlJc w:val="left"/>
      <w:pPr>
        <w:ind w:left="2357" w:hanging="361"/>
      </w:pPr>
      <w:rPr>
        <w:rFonts w:hint="default"/>
      </w:rPr>
    </w:lvl>
    <w:lvl w:ilvl="3">
      <w:start w:val="0"/>
      <w:numFmt w:val="bullet"/>
      <w:lvlText w:val="•"/>
      <w:lvlJc w:val="left"/>
      <w:pPr>
        <w:ind w:left="3265" w:hanging="361"/>
      </w:pPr>
      <w:rPr>
        <w:rFonts w:hint="default"/>
      </w:rPr>
    </w:lvl>
    <w:lvl w:ilvl="4">
      <w:start w:val="0"/>
      <w:numFmt w:val="bullet"/>
      <w:lvlText w:val="•"/>
      <w:lvlJc w:val="left"/>
      <w:pPr>
        <w:ind w:left="4174" w:hanging="361"/>
      </w:pPr>
      <w:rPr>
        <w:rFonts w:hint="default"/>
      </w:rPr>
    </w:lvl>
    <w:lvl w:ilvl="5">
      <w:start w:val="0"/>
      <w:numFmt w:val="bullet"/>
      <w:lvlText w:val="•"/>
      <w:lvlJc w:val="left"/>
      <w:pPr>
        <w:ind w:left="5082" w:hanging="361"/>
      </w:pPr>
      <w:rPr>
        <w:rFonts w:hint="default"/>
      </w:rPr>
    </w:lvl>
    <w:lvl w:ilvl="6">
      <w:start w:val="0"/>
      <w:numFmt w:val="bullet"/>
      <w:lvlText w:val="•"/>
      <w:lvlJc w:val="left"/>
      <w:pPr>
        <w:ind w:left="5991" w:hanging="361"/>
      </w:pPr>
      <w:rPr>
        <w:rFonts w:hint="default"/>
      </w:rPr>
    </w:lvl>
    <w:lvl w:ilvl="7">
      <w:start w:val="0"/>
      <w:numFmt w:val="bullet"/>
      <w:lvlText w:val="•"/>
      <w:lvlJc w:val="left"/>
      <w:pPr>
        <w:ind w:left="6899" w:hanging="361"/>
      </w:pPr>
      <w:rPr>
        <w:rFonts w:hint="default"/>
      </w:rPr>
    </w:lvl>
    <w:lvl w:ilvl="8">
      <w:start w:val="0"/>
      <w:numFmt w:val="bullet"/>
      <w:lvlText w:val="•"/>
      <w:lvlJc w:val="left"/>
      <w:pPr>
        <w:ind w:left="7808" w:hanging="361"/>
      </w:pPr>
      <w:rPr>
        <w:rFonts w:hint="default"/>
      </w:rPr>
    </w:lvl>
  </w:abstractNum>
  <w:abstractNum w:abstractNumId="0">
    <w:multiLevelType w:val="hybridMultilevel"/>
    <w:lvl w:ilvl="0">
      <w:start w:val="0"/>
      <w:numFmt w:val="bullet"/>
      <w:lvlText w:val=""/>
      <w:lvlJc w:val="left"/>
      <w:pPr>
        <w:ind w:left="470" w:hanging="360"/>
      </w:pPr>
      <w:rPr>
        <w:rFonts w:hint="default"/>
        <w:w w:val="100"/>
      </w:rPr>
    </w:lvl>
    <w:lvl w:ilvl="1">
      <w:start w:val="0"/>
      <w:numFmt w:val="bullet"/>
      <w:lvlText w:val=""/>
      <w:lvlJc w:val="left"/>
      <w:pPr>
        <w:ind w:left="1083" w:hanging="629"/>
      </w:pPr>
      <w:rPr>
        <w:rFonts w:hint="default" w:ascii="Symbol" w:hAnsi="Symbol" w:eastAsia="Symbol" w:cs="Symbol"/>
        <w:w w:val="100"/>
        <w:sz w:val="20"/>
        <w:szCs w:val="20"/>
      </w:rPr>
    </w:lvl>
    <w:lvl w:ilvl="2">
      <w:start w:val="0"/>
      <w:numFmt w:val="bullet"/>
      <w:lvlText w:val="•"/>
      <w:lvlJc w:val="left"/>
      <w:pPr>
        <w:ind w:left="2009" w:hanging="629"/>
      </w:pPr>
      <w:rPr>
        <w:rFonts w:hint="default"/>
      </w:rPr>
    </w:lvl>
    <w:lvl w:ilvl="3">
      <w:start w:val="0"/>
      <w:numFmt w:val="bullet"/>
      <w:lvlText w:val="•"/>
      <w:lvlJc w:val="left"/>
      <w:pPr>
        <w:ind w:left="2939" w:hanging="629"/>
      </w:pPr>
      <w:rPr>
        <w:rFonts w:hint="default"/>
      </w:rPr>
    </w:lvl>
    <w:lvl w:ilvl="4">
      <w:start w:val="0"/>
      <w:numFmt w:val="bullet"/>
      <w:lvlText w:val="•"/>
      <w:lvlJc w:val="left"/>
      <w:pPr>
        <w:ind w:left="3868" w:hanging="629"/>
      </w:pPr>
      <w:rPr>
        <w:rFonts w:hint="default"/>
      </w:rPr>
    </w:lvl>
    <w:lvl w:ilvl="5">
      <w:start w:val="0"/>
      <w:numFmt w:val="bullet"/>
      <w:lvlText w:val="•"/>
      <w:lvlJc w:val="left"/>
      <w:pPr>
        <w:ind w:left="4798" w:hanging="629"/>
      </w:pPr>
      <w:rPr>
        <w:rFonts w:hint="default"/>
      </w:rPr>
    </w:lvl>
    <w:lvl w:ilvl="6">
      <w:start w:val="0"/>
      <w:numFmt w:val="bullet"/>
      <w:lvlText w:val="•"/>
      <w:lvlJc w:val="left"/>
      <w:pPr>
        <w:ind w:left="5727" w:hanging="629"/>
      </w:pPr>
      <w:rPr>
        <w:rFonts w:hint="default"/>
      </w:rPr>
    </w:lvl>
    <w:lvl w:ilvl="7">
      <w:start w:val="0"/>
      <w:numFmt w:val="bullet"/>
      <w:lvlText w:val="•"/>
      <w:lvlJc w:val="left"/>
      <w:pPr>
        <w:ind w:left="6657" w:hanging="629"/>
      </w:pPr>
      <w:rPr>
        <w:rFonts w:hint="default"/>
      </w:rPr>
    </w:lvl>
    <w:lvl w:ilvl="8">
      <w:start w:val="0"/>
      <w:numFmt w:val="bullet"/>
      <w:lvlText w:val="•"/>
      <w:lvlJc w:val="left"/>
      <w:pPr>
        <w:ind w:left="7586" w:hanging="629"/>
      </w:pPr>
      <w:rPr>
        <w:rFonts w:hint="default"/>
      </w:rPr>
    </w:lvl>
  </w:abstractNum>
  <w:num w:numId="4">
    <w:abstractNumId w:val="3"/>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38"/>
      <w:ind w:left="470" w:hanging="360"/>
    </w:pPr>
    <w:rPr>
      <w:rFonts w:ascii="Tahoma" w:hAnsi="Tahoma" w:eastAsia="Tahoma" w:cs="Tahoma"/>
      <w:sz w:val="28"/>
      <w:szCs w:val="28"/>
    </w:rPr>
  </w:style>
  <w:style w:styleId="TOC2" w:type="paragraph">
    <w:name w:val="TOC 2"/>
    <w:basedOn w:val="Normal"/>
    <w:uiPriority w:val="1"/>
    <w:qFormat/>
    <w:pPr>
      <w:spacing w:line="338" w:lineRule="exact"/>
      <w:ind w:left="1083" w:hanging="629"/>
    </w:pPr>
    <w:rPr>
      <w:rFonts w:ascii="Tahoma" w:hAnsi="Tahoma" w:eastAsia="Tahoma" w:cs="Tahoma"/>
      <w:sz w:val="28"/>
      <w:szCs w:val="28"/>
    </w:rPr>
  </w:style>
  <w:style w:styleId="TOC3" w:type="paragraph">
    <w:name w:val="TOC 3"/>
    <w:basedOn w:val="Normal"/>
    <w:uiPriority w:val="1"/>
    <w:qFormat/>
    <w:pPr>
      <w:ind w:left="1068"/>
    </w:pPr>
    <w:rPr>
      <w:rFonts w:ascii="Tahoma" w:hAnsi="Tahoma" w:eastAsia="Tahoma" w:cs="Tahoma"/>
      <w:sz w:val="28"/>
      <w:szCs w:val="28"/>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5"/>
      <w:ind w:left="136"/>
      <w:jc w:val="center"/>
      <w:outlineLvl w:val="1"/>
    </w:pPr>
    <w:rPr>
      <w:rFonts w:ascii="Times New Roman" w:hAnsi="Times New Roman" w:eastAsia="Times New Roman" w:cs="Times New Roman"/>
      <w:b/>
      <w:bCs/>
      <w:sz w:val="45"/>
      <w:szCs w:val="45"/>
    </w:rPr>
  </w:style>
  <w:style w:styleId="Heading2" w:type="paragraph">
    <w:name w:val="Heading 2"/>
    <w:basedOn w:val="Normal"/>
    <w:uiPriority w:val="1"/>
    <w:qFormat/>
    <w:pPr>
      <w:spacing w:before="1"/>
      <w:ind w:left="174" w:right="174"/>
      <w:jc w:val="center"/>
      <w:outlineLvl w:val="2"/>
    </w:pPr>
    <w:rPr>
      <w:rFonts w:ascii="Arial" w:hAnsi="Arial" w:eastAsia="Arial" w:cs="Arial"/>
      <w:sz w:val="34"/>
      <w:szCs w:val="34"/>
    </w:rPr>
  </w:style>
  <w:style w:styleId="Heading3" w:type="paragraph">
    <w:name w:val="Heading 3"/>
    <w:basedOn w:val="Normal"/>
    <w:uiPriority w:val="1"/>
    <w:qFormat/>
    <w:pPr>
      <w:ind w:left="9"/>
      <w:jc w:val="center"/>
      <w:outlineLvl w:val="3"/>
    </w:pPr>
    <w:rPr>
      <w:rFonts w:ascii="Arial" w:hAnsi="Arial" w:eastAsia="Arial" w:cs="Arial"/>
      <w:b/>
      <w:bCs/>
      <w:sz w:val="30"/>
      <w:szCs w:val="30"/>
    </w:rPr>
  </w:style>
  <w:style w:styleId="Heading4" w:type="paragraph">
    <w:name w:val="Heading 4"/>
    <w:basedOn w:val="Normal"/>
    <w:uiPriority w:val="1"/>
    <w:qFormat/>
    <w:pPr>
      <w:spacing w:before="1"/>
      <w:ind w:left="121"/>
      <w:jc w:val="center"/>
      <w:outlineLvl w:val="4"/>
    </w:pPr>
    <w:rPr>
      <w:rFonts w:ascii="Times New Roman" w:hAnsi="Times New Roman" w:eastAsia="Times New Roman" w:cs="Times New Roman"/>
      <w:sz w:val="25"/>
      <w:szCs w:val="25"/>
    </w:rPr>
  </w:style>
  <w:style w:styleId="Heading5" w:type="paragraph">
    <w:name w:val="Heading 5"/>
    <w:basedOn w:val="Normal"/>
    <w:uiPriority w:val="1"/>
    <w:qFormat/>
    <w:pPr>
      <w:ind w:left="170"/>
      <w:outlineLvl w:val="5"/>
    </w:pPr>
    <w:rPr>
      <w:rFonts w:ascii="Arial" w:hAnsi="Arial" w:eastAsia="Arial" w:cs="Arial"/>
      <w:b/>
      <w:bCs/>
      <w:sz w:val="24"/>
      <w:szCs w:val="24"/>
    </w:rPr>
  </w:style>
  <w:style w:styleId="ListParagraph" w:type="paragraph">
    <w:name w:val="List Paragraph"/>
    <w:basedOn w:val="Normal"/>
    <w:uiPriority w:val="1"/>
    <w:qFormat/>
    <w:pPr>
      <w:ind w:left="53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footer" Target="footer4.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hyperlink" Target="http://www.pwdwa.org/" TargetMode="Externa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image" Target="media/image20.png"/><Relationship Id="rId36" Type="http://schemas.openxmlformats.org/officeDocument/2006/relationships/footer" Target="footer11.xml"/><Relationship Id="rId37" Type="http://schemas.openxmlformats.org/officeDocument/2006/relationships/image" Target="media/image21.png"/><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hyperlink" Target="mailto:rayw@iinet.net.au" TargetMode="External"/><Relationship Id="rId42" Type="http://schemas.openxmlformats.org/officeDocument/2006/relationships/image" Target="media/image22.jpeg"/><Relationship Id="rId43" Type="http://schemas.openxmlformats.org/officeDocument/2006/relationships/image" Target="media/image23.png"/><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hyperlink" Target="mailto:info@pwdwa.org"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2018-03-29T05:27:34Z</dcterms:created>
  <dcterms:modified xsi:type="dcterms:W3CDTF">2018-03-29T05:27:34Z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2011-10-06T00:00:00Z</vt:filetime>
  </property>
  <property fmtid="{D5CDD505-2E9C-101B-9397-08002B2CF9AE}" pid="3" name="Creator">
    <vt:lpwstr>Adobe InDesign CS3 (5.0.4)</vt:lpwstr>
  </property>
  <property fmtid="{D5CDD505-2E9C-101B-9397-08002B2CF9AE}" pid="4" name="LastSaved">
    <vt:filetime>2018-03-29T00:00:00Z</vt:filetime>
  </property>
</Properties>
</file>